
<file path=[Content_Types].xml><?xml version="1.0" encoding="utf-8"?>
<Types xmlns="http://schemas.openxmlformats.org/package/2006/content-types">
  <Default Extension="rels" ContentType="application/vnd.openxmlformats-package.relationships+xml"/>
  <Default Extension="xml" ContentType="application/xml"/>
  <Default Extension="bmp" ContentType="image/bmp"/>
  <Default Extension="jpeg" ContentType="image/jpeg"/>
  <Default Extension="png" ContentType="image/png"/>
  <Default Extension="gif" ContentType="image/gif"/>
  <Default Extension="tif" ContentType="image/tif"/>
  <Default Extension="emf" ContentType="image/x-emf"/>
  <Default Extension="wmf" ContentType="image/x-wmf"/>
  <Default Extension="pct" ContentType="image/pct"/>
  <Default Extension="pcx" ContentType="image/pcx"/>
  <Default Extension="tga" ContentType="image/tga"/>
  <Default Extension="bin" ContentType="application/vnd.openxmlformats-officedocument.oleObject"/>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word/document.xml" ContentType="application/vnd.openxmlformats-officedocument.wordprocessingml.document.main+xml"/>
  <Override PartName="/word/footer1.xml" ContentType="application/vnd.openxmlformats-officedocument.wordprocessingml.footer+xml"/>
</Types>
</file>

<file path=_rels/.rels><?xml version="1.0" encoding="UTF-8" standalone="yes" ?>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pStyle w:val="Text"/>
        <w:ind w:right="850"/>
        <w:spacing w:after="0"/>
        <w:tabs>
          <w:tab w:val="clear" w:pos="567" w:leader="none"/>
          <w:tab w:val="clear" w:pos="1134" w:leader="none"/>
          <w:tab w:val="clear" w:pos="1701" w:leader="none"/>
          <w:tab w:val="clear" w:pos="2268" w:leader="none"/>
          <w:tab w:val="clear" w:pos="2835" w:leader="none"/>
        </w:tabs>
        <w:pBdr>
          <w:top w:val="nil" w:sz="0" w:space="3" w:color="000000" tmln="20, 20, 20, 0"/>
          <w:left w:val="nil" w:sz="0" w:space="3" w:color="000000" tmln="20, 20, 20, 0"/>
          <w:bottom w:val="nil" w:sz="0" w:space="3" w:color="000000" tmln="20, 20, 20, 0"/>
          <w:right w:val="nil" w:sz="0" w:space="3" w:color="000000" tmln="20, 20, 20, 0"/>
          <w:between w:val="nil" w:sz="0" w:space="0" w:color="000000" tmln="20, 20, 20, 0"/>
        </w:pBdr>
        <w:shd w:val="solid" w:color="E8E8E8" tmshd="1527316736, 0, 16777215"/>
      </w:pPr>
      <w:r>
        <w:rPr>
          <w:rFonts w:ascii="Arial" w:hAnsi="Arial" w:eastAsia="Arial" w:cs="Arial"/>
          <w:b/>
          <w:bCs/>
        </w:rPr>
        <w:t>GRÜN UND GESUND? BRIEFVORLAGE FÜR PATIENTINNEN UND PATIENTEN</w:t>
      </w: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b/>
          <w:bCs/>
        </w:rPr>
      </w:pPr>
      <w:r>
        <w:rPr>
          <w:rFonts w:ascii="Arial" w:hAnsi="Arial" w:eastAsia="Arial" w:cs="Arial"/>
          <w:b/>
          <w:bCs/>
        </w:rPr>
        <w:t xml:space="preserve">Anlass dieser Briefaktion </w:t>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t xml:space="preserve">Anlass ist der Versuch von Aktivistengruppen, aktuell in der </w:t>
      </w:r>
      <w:r>
        <w:rPr>
          <w:rFonts w:ascii="Arial" w:hAnsi="Arial" w:eastAsia="Arial" w:cs="Arial"/>
        </w:rPr>
      </w:r>
      <w:r>
        <w:rPr>
          <w:rFonts w:ascii="Arial" w:hAnsi="Arial" w:eastAsia="Arial" w:cs="Arial"/>
        </w:rPr>
        <w:t>Grünen</w:t>
      </w:r>
      <w:r>
        <w:rPr>
          <w:rFonts w:ascii="Arial" w:hAnsi="Arial" w:eastAsia="Arial" w:cs="Arial"/>
        </w:rPr>
      </w:r>
      <w:r>
        <w:rPr>
          <w:rFonts w:ascii="Arial" w:hAnsi="Arial" w:eastAsia="Arial" w:cs="Arial"/>
        </w:rPr>
        <w:t xml:space="preserve"> Partei, dort über die </w:t>
      </w:r>
      <w:r>
        <w:rPr>
          <w:rFonts w:ascii="Arial" w:hAnsi="Arial" w:eastAsia="Arial" w:cs="Arial"/>
        </w:rPr>
      </w:r>
      <w:r>
        <w:rPr>
          <w:rFonts w:ascii="Arial" w:hAnsi="Arial" w:eastAsia="Arial" w:cs="Arial"/>
        </w:rPr>
        <w:t>Bundesdelegierten-Konferenz</w:t>
      </w:r>
      <w:r>
        <w:rPr>
          <w:rFonts w:ascii="Arial" w:hAnsi="Arial" w:eastAsia="Arial" w:cs="Arial"/>
        </w:rPr>
      </w:r>
      <w:r>
        <w:rPr>
          <w:rFonts w:ascii="Arial" w:hAnsi="Arial" w:eastAsia="Arial" w:cs="Arial"/>
        </w:rPr>
        <w:t xml:space="preserve"> am 15.-17. Nov. 2019 das Grundsatzprogramm der Grünen dahin gehend zu ändern, dass die sog. „besonderen Therapierichtungen“ (Homöopathie, </w:t>
      </w:r>
      <w:r>
        <w:rPr>
          <w:rFonts w:ascii="Arial" w:hAnsi="Arial" w:eastAsia="Arial" w:cs="Arial"/>
        </w:rPr>
      </w:r>
      <w:r>
        <w:rPr>
          <w:rFonts w:ascii="Arial" w:hAnsi="Arial" w:eastAsia="Arial" w:cs="Arial"/>
        </w:rPr>
        <w:t>Anthroposophische</w:t>
      </w:r>
      <w:r>
        <w:rPr>
          <w:rFonts w:ascii="Arial" w:hAnsi="Arial" w:eastAsia="Arial" w:cs="Arial"/>
        </w:rPr>
      </w:r>
      <w:r>
        <w:rPr>
          <w:rFonts w:ascii="Arial" w:hAnsi="Arial" w:eastAsia="Arial" w:cs="Arial"/>
        </w:rPr>
        <w:t xml:space="preserve"> Medizin und Pflanzenheilkunde) in Deutschland keinen gesetzlichen Schutz mehr erhalten und homöopathische Arzneimittel nur noch mit indikationsbezogenem Wirksamkeitsnachweis zugelassen werden können – was bei der Homöopathie sinnfrei ist. Sollte diese Position sich in weiteren Parteien und in der Gesetzgebung durchsetzen – in der SPD steht eine ähnliche Entscheidung aus –, dann werden den Patienten bald weder qualitätsgesicherte homöopathische Arzneimittel noch qualifizierte homöopathische </w:t>
      </w:r>
      <w:r>
        <w:rPr>
          <w:rFonts w:ascii="Arial" w:hAnsi="Arial" w:eastAsia="Arial" w:cs="Arial"/>
        </w:rPr>
      </w:r>
      <w:r>
        <w:rPr>
          <w:rFonts w:ascii="Arial" w:hAnsi="Arial" w:eastAsia="Arial" w:cs="Arial"/>
        </w:rPr>
        <w:t>Therapeuten</w:t>
      </w:r>
      <w:r>
        <w:rPr>
          <w:rFonts w:ascii="Arial" w:hAnsi="Arial" w:eastAsia="Arial" w:cs="Arial"/>
        </w:rPr>
      </w:r>
      <w:r>
        <w:rPr>
          <w:rFonts w:ascii="Arial" w:hAnsi="Arial" w:eastAsia="Arial" w:cs="Arial"/>
        </w:rPr>
        <w:t xml:space="preserve"> zur Verfügung stehen. </w:t>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t xml:space="preserve">Wir erwarten von allen demokratischen Parteien einen Schutz der therapeutischen Vielfalt und der freien Therapiewahl. Das ist kein </w:t>
      </w:r>
      <w:r>
        <w:rPr>
          <w:rFonts w:ascii="Arial" w:hAnsi="Arial" w:eastAsia="Arial" w:cs="Arial"/>
        </w:rPr>
      </w:r>
      <w:r>
        <w:rPr>
          <w:rFonts w:ascii="Arial" w:hAnsi="Arial" w:eastAsia="Arial" w:cs="Arial"/>
        </w:rPr>
        <w:t>Gegeneinander</w:t>
      </w:r>
      <w:r>
        <w:rPr>
          <w:rFonts w:ascii="Arial" w:hAnsi="Arial" w:eastAsia="Arial" w:cs="Arial"/>
        </w:rPr>
      </w:r>
      <w:r>
        <w:rPr>
          <w:rFonts w:ascii="Arial" w:hAnsi="Arial" w:eastAsia="Arial" w:cs="Arial"/>
        </w:rPr>
        <w:t xml:space="preserve">: Homöopathie und Schulmedizin können sich mit Respekt auf jeweilige Grenzen häufig sinnvoll ergänzen. Die Homöopathie bietet oft selbst dann noch Möglichkeiten, wenn die konventionelle Medizin nichts mehr anzubieten hat. Umso mehr überrascht und beunruhigt, dass ausgerechnet die Jugendorganisation „Grüne Jugend“, anstatt eine positive Vorreiterrolle zu übernehmen, mit deutlicher Mehrheit </w:t>
      </w:r>
      <w:r>
        <w:rPr>
          <w:rFonts w:ascii="Arial" w:hAnsi="Arial" w:eastAsia="Arial" w:cs="Arial"/>
        </w:rPr>
      </w:r>
      <w:r>
        <w:rPr>
          <w:rFonts w:ascii="Arial" w:hAnsi="Arial" w:eastAsia="Arial" w:cs="Arial"/>
        </w:rPr>
      </w:r>
      <w:r>
        <w:rPr>
          <w:rFonts w:ascii="Arial" w:hAnsi="Arial" w:eastAsia="Arial" w:cs="Arial"/>
        </w:rPr>
        <w:t>wissenschafts-fundamentalistische</w:t>
      </w:r>
      <w:r>
        <w:rPr>
          <w:rFonts w:ascii="Arial" w:hAnsi="Arial" w:eastAsia="Arial" w:cs="Arial"/>
        </w:rPr>
      </w:r>
      <w:r>
        <w:rPr>
          <w:rFonts w:ascii="Arial" w:hAnsi="Arial" w:eastAsia="Arial" w:cs="Arial"/>
        </w:rPr>
        <w:t xml:space="preserve"> Positionen</w:t>
      </w:r>
      <w:r>
        <w:rPr>
          <w:rFonts w:ascii="Arial" w:hAnsi="Arial" w:eastAsia="Arial" w:cs="Arial"/>
        </w:rPr>
      </w:r>
      <w:r>
        <w:rPr>
          <w:rFonts w:ascii="Arial" w:hAnsi="Arial" w:eastAsia="Arial" w:cs="Arial"/>
        </w:rPr>
        <w:t xml:space="preserve"> verabschiedet </w:t>
      </w:r>
      <w:r>
        <w:rPr>
          <w:rFonts w:ascii="Arial" w:hAnsi="Arial" w:eastAsia="Arial" w:cs="Arial"/>
        </w:rPr>
      </w:r>
      <w:r>
        <w:rPr>
          <w:rFonts w:ascii="Arial" w:hAnsi="Arial" w:eastAsia="Arial" w:cs="Arial"/>
        </w:rPr>
        <w:t>hat</w:t>
      </w:r>
      <w:r>
        <w:rPr>
          <w:rFonts w:ascii="Arial" w:hAnsi="Arial" w:eastAsia="Arial" w:cs="Arial"/>
        </w:rPr>
      </w:r>
      <w:r>
        <w:rPr>
          <w:rFonts w:ascii="Arial" w:hAnsi="Arial" w:eastAsia="Arial" w:cs="Arial"/>
        </w:rPr>
        <w:t xml:space="preserve">. Fundamentalistisch heißt, dass nicht mehr erkenntnisoffen geforscht, sondern ein fixes „wissenschaftliches“ Weltbild verkündet wird. Dieses Weltbild ist gleichermaßen engstirnig wie das (nur vermeintliche) Gegenteil unverhüllter Wissenschaftsfeindlichkeit. Nicht etwa Schulmediziner, sondern ideologische Aktivisten streiten in einem </w:t>
      </w:r>
      <w:r>
        <w:rPr>
          <w:rFonts w:ascii="Arial" w:hAnsi="Arial" w:eastAsia="Arial" w:cs="Arial"/>
        </w:rPr>
      </w:r>
      <w:r>
        <w:rPr>
          <w:rFonts w:ascii="Arial" w:hAnsi="Arial" w:eastAsia="Arial" w:cs="Arial"/>
        </w:rPr>
        <w:t>Stellvertreter-Krieg</w:t>
      </w:r>
      <w:r>
        <w:rPr>
          <w:rFonts w:ascii="Arial" w:hAnsi="Arial" w:eastAsia="Arial" w:cs="Arial"/>
        </w:rPr>
      </w:r>
      <w:r>
        <w:rPr>
          <w:rFonts w:ascii="Arial" w:hAnsi="Arial" w:eastAsia="Arial" w:cs="Arial"/>
        </w:rPr>
        <w:t xml:space="preserve"> gegen die Homöopathie und versuchen bereits mit </w:t>
      </w:r>
      <w:r>
        <w:rPr>
          <w:rFonts w:ascii="Arial" w:hAnsi="Arial" w:eastAsia="Arial" w:cs="Arial"/>
        </w:rPr>
      </w:r>
      <w:r>
        <w:rPr>
          <w:rFonts w:ascii="Arial" w:hAnsi="Arial" w:eastAsia="Arial" w:cs="Arial"/>
        </w:rPr>
        <w:t>Teil-Erfolgen</w:t>
      </w:r>
      <w:r>
        <w:rPr>
          <w:rFonts w:ascii="Arial" w:hAnsi="Arial" w:eastAsia="Arial" w:cs="Arial"/>
        </w:rPr>
      </w:r>
      <w:r>
        <w:rPr>
          <w:rFonts w:ascii="Arial" w:hAnsi="Arial" w:eastAsia="Arial" w:cs="Arial"/>
        </w:rPr>
        <w:t>, alle demokratischen Parteien zu infiltrieren.</w:t>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t xml:space="preserve">Bemerkenswert ist, dass der </w:t>
      </w:r>
      <w:hyperlink r:id="rId7" w:history="1">
        <w:r>
          <w:rPr>
            <w:rStyle w:val="Hyperlink"/>
            <w:rFonts w:ascii="Arial" w:hAnsi="Arial" w:eastAsia="Arial" w:cs="Arial"/>
          </w:rPr>
          <w:t xml:space="preserve">Antrag </w:t>
        </w:r>
        <w:r>
          <w:rPr>
            <w:rStyle w:val="Hyperlink"/>
            <w:rFonts w:ascii="Arial" w:hAnsi="Arial" w:eastAsia="Arial" w:cs="Arial"/>
          </w:rPr>
        </w:r>
        <w:r>
          <w:rPr>
            <w:rStyle w:val="Hyperlink"/>
            <w:rFonts w:ascii="Arial" w:hAnsi="Arial" w:eastAsia="Arial" w:cs="Arial"/>
          </w:rPr>
          <w:t>V-01</w:t>
        </w:r>
      </w:hyperlink>
      <w:r>
        <w:rPr>
          <w:rFonts w:ascii="Arial" w:hAnsi="Arial" w:eastAsia="Arial" w:cs="Arial"/>
        </w:rPr>
      </w:r>
      <w:r>
        <w:rPr>
          <w:rFonts w:ascii="Arial" w:hAnsi="Arial" w:eastAsia="Arial" w:cs="Arial"/>
        </w:rPr>
        <w:t xml:space="preserve"> der „Grünen Jugend“ unter dem Mantel</w:t>
      </w:r>
      <w:r>
        <w:rPr>
          <w:rFonts w:ascii="Arial" w:hAnsi="Arial" w:eastAsia="Arial" w:cs="Arial"/>
        </w:rPr>
        <w:t xml:space="preserve"> vorgeblichen Patientenschutzes eingebracht wurde.</w:t>
      </w: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b/>
          <w:bCs/>
        </w:rPr>
      </w:pPr>
      <w:r>
        <w:rPr>
          <w:rFonts w:ascii="Arial" w:hAnsi="Arial" w:eastAsia="Arial" w:cs="Arial"/>
          <w:b/>
          <w:bCs/>
        </w:rPr>
        <w:t xml:space="preserve">Kontaktadressen und ggf. Ansprechpartner </w:t>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r>
        <w:rPr>
          <w:rFonts w:ascii="Arial" w:hAnsi="Arial" w:eastAsia="Arial" w:cs="Arial"/>
        </w:rPr>
        <w:t>der</w:t>
      </w:r>
      <w:r>
        <w:rPr>
          <w:rFonts w:ascii="Arial" w:hAnsi="Arial" w:eastAsia="Arial" w:cs="Arial"/>
        </w:rPr>
      </w:r>
      <w:r>
        <w:rPr>
          <w:rFonts w:ascii="Arial" w:hAnsi="Arial" w:eastAsia="Arial" w:cs="Arial"/>
        </w:rPr>
        <w:t xml:space="preserve"> grünen Orts-, Kreis- und Landesverbände </w:t>
      </w:r>
      <w:r>
        <w:rPr>
          <w:rFonts w:ascii="Arial" w:hAnsi="Arial" w:eastAsia="Arial" w:cs="Arial"/>
        </w:rPr>
      </w:r>
      <w:r>
        <w:rPr>
          <w:rFonts w:ascii="Arial" w:hAnsi="Arial" w:eastAsia="Arial" w:cs="Arial"/>
        </w:rPr>
        <w:t>Ihres</w:t>
      </w:r>
      <w:r>
        <w:rPr>
          <w:rFonts w:ascii="Arial" w:hAnsi="Arial" w:eastAsia="Arial" w:cs="Arial"/>
        </w:rPr>
      </w:r>
      <w:r>
        <w:rPr>
          <w:rFonts w:ascii="Arial" w:hAnsi="Arial" w:eastAsia="Arial" w:cs="Arial"/>
        </w:rPr>
        <w:t xml:space="preserve"> Wahlkreises finden </w:t>
      </w:r>
      <w:r>
        <w:rPr>
          <w:rFonts w:ascii="Arial" w:hAnsi="Arial" w:eastAsia="Arial" w:cs="Arial"/>
        </w:rPr>
      </w:r>
      <w:r>
        <w:rPr>
          <w:rFonts w:ascii="Arial" w:hAnsi="Arial" w:eastAsia="Arial" w:cs="Arial"/>
        </w:rPr>
        <w:t>Sie</w:t>
      </w:r>
      <w:r>
        <w:rPr>
          <w:rFonts w:ascii="Arial" w:hAnsi="Arial" w:eastAsia="Arial" w:cs="Arial"/>
        </w:rPr>
      </w:r>
      <w:r>
        <w:rPr>
          <w:rFonts w:ascii="Arial" w:hAnsi="Arial" w:eastAsia="Arial" w:cs="Arial"/>
        </w:rPr>
        <w:t xml:space="preserve"> hier:</w:t>
      </w:r>
    </w:p>
    <w:p>
      <w:pPr>
        <w:pStyle w:val="Text"/>
        <w:ind w:right="850"/>
        <w:spacing w:after="0"/>
        <w:tabs>
          <w:tab w:val="clear" w:pos="567" w:leader="none"/>
          <w:tab w:val="clear" w:pos="1134" w:leader="none"/>
          <w:tab w:val="clear" w:pos="1701" w:leader="none"/>
          <w:tab w:val="clear" w:pos="2268" w:leader="none"/>
          <w:tab w:val="clear" w:pos="2835" w:leader="none"/>
        </w:tabs>
      </w:pPr>
      <w:hyperlink r:id="rId8" w:history="1">
        <w:r>
          <w:rPr>
            <w:rStyle w:val="Internetverknpfung"/>
            <w:rFonts w:ascii="Arial" w:hAnsi="Arial" w:eastAsia="Arial" w:cs="Arial"/>
            <w:i/>
            <w:iCs/>
          </w:rPr>
          <w:t>https://www.gruene.de/gruene-vor-ort</w:t>
        </w:r>
      </w:hyperlink>
      <w:r>
        <w:rPr>
          <w:rFonts w:ascii="Arial" w:hAnsi="Arial" w:eastAsia="Arial" w:cs="Arial"/>
          <w:i/>
          <w:iCs/>
        </w:rPr>
        <w:t xml:space="preserve"> </w:t>
      </w: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i/>
          <w:iCs/>
        </w:rPr>
      </w:pPr>
      <w:r>
        <w:rPr>
          <w:rFonts w:ascii="Arial" w:hAnsi="Arial" w:eastAsia="Arial" w:cs="Arial"/>
          <w:i/>
          <w:iCs/>
        </w:rPr>
        <w:t xml:space="preserve">Briefe und </w:t>
      </w:r>
      <w:r>
        <w:rPr>
          <w:rFonts w:ascii="Arial" w:hAnsi="Arial" w:eastAsia="Arial" w:cs="Arial"/>
          <w:i/>
          <w:iCs/>
        </w:rPr>
      </w:r>
      <w:r>
        <w:rPr>
          <w:rFonts w:ascii="Arial" w:hAnsi="Arial" w:eastAsia="Arial" w:cs="Arial"/>
          <w:i/>
          <w:iCs/>
        </w:rPr>
        <w:t>Mails</w:t>
      </w:r>
      <w:r>
        <w:rPr>
          <w:rFonts w:ascii="Arial" w:hAnsi="Arial" w:eastAsia="Arial" w:cs="Arial"/>
          <w:i/>
          <w:iCs/>
        </w:rPr>
      </w:r>
      <w:r>
        <w:rPr>
          <w:rFonts w:ascii="Arial" w:hAnsi="Arial" w:eastAsia="Arial" w:cs="Arial"/>
          <w:i/>
          <w:iCs/>
        </w:rPr>
        <w:t xml:space="preserve"> bitte unten </w:t>
      </w:r>
      <w:r>
        <w:rPr>
          <w:rFonts w:ascii="Arial" w:hAnsi="Arial" w:eastAsia="Arial" w:cs="Arial"/>
          <w:b/>
          <w:bCs/>
          <w:i/>
          <w:iCs/>
        </w:rPr>
        <w:t>mit vollständiger Angabe von Namen und Adressdaten ergänzen</w:t>
      </w:r>
      <w:r>
        <w:rPr>
          <w:rFonts w:ascii="Arial" w:hAnsi="Arial" w:eastAsia="Arial" w:cs="Arial"/>
          <w:i/>
          <w:iCs/>
        </w:rPr>
        <w:t xml:space="preserve">! Briefe (besonders wirksam) auch datieren. </w:t>
      </w:r>
      <w:r>
        <w:rPr>
          <w:rFonts w:ascii="Arial" w:hAnsi="Arial" w:eastAsia="Arial" w:cs="Arial"/>
          <w:i/>
          <w:iCs/>
        </w:rPr>
      </w:r>
      <w:r>
        <w:rPr>
          <w:rFonts w:ascii="Arial" w:hAnsi="Arial" w:eastAsia="Arial" w:cs="Arial"/>
          <w:i/>
          <w:iCs/>
        </w:rPr>
        <w:t>Massen-Mails</w:t>
      </w:r>
      <w:r>
        <w:rPr>
          <w:rFonts w:ascii="Arial" w:hAnsi="Arial" w:eastAsia="Arial" w:cs="Arial"/>
          <w:i/>
          <w:iCs/>
        </w:rPr>
      </w:r>
      <w:r>
        <w:rPr>
          <w:rFonts w:ascii="Arial" w:hAnsi="Arial" w:eastAsia="Arial" w:cs="Arial"/>
          <w:i/>
          <w:iCs/>
        </w:rPr>
        <w:t xml:space="preserve"> und Schreiben ohne diese Angaben werden als </w:t>
      </w:r>
      <w:r>
        <w:rPr>
          <w:rFonts w:ascii="Arial" w:hAnsi="Arial" w:eastAsia="Arial" w:cs="Arial"/>
          <w:i/>
          <w:iCs/>
        </w:rPr>
      </w:r>
      <w:r>
        <w:rPr>
          <w:rFonts w:ascii="Arial" w:hAnsi="Arial" w:eastAsia="Arial" w:cs="Arial"/>
          <w:i/>
          <w:iCs/>
        </w:rPr>
        <w:t>Spam</w:t>
      </w:r>
      <w:r>
        <w:rPr>
          <w:rFonts w:ascii="Arial" w:hAnsi="Arial" w:eastAsia="Arial" w:cs="Arial"/>
          <w:i/>
          <w:iCs/>
        </w:rPr>
      </w:r>
      <w:r>
        <w:rPr>
          <w:rFonts w:ascii="Arial" w:hAnsi="Arial" w:eastAsia="Arial" w:cs="Arial"/>
          <w:i/>
          <w:iCs/>
        </w:rPr>
        <w:t xml:space="preserve"> betrachtet und sind eher kontraproduktiv. Im ersten Satz bitte die Geschlechtsform anpassen. Der Text ist ein Vorschlag und kann so übernommen oder gerne auch individuell angepasst werden. </w:t>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i/>
          <w:iCs/>
        </w:rPr>
      </w:pPr>
      <w:r>
        <w:rPr>
          <w:rFonts w:ascii="Arial" w:hAnsi="Arial" w:eastAsia="Arial" w:cs="Arial"/>
          <w:i/>
          <w:iCs/>
        </w:rPr>
        <w:t xml:space="preserve">Wer inhaltlich nicht damit einverstanden ist, könnte bspw. die freie </w:t>
      </w:r>
      <w:r>
        <w:rPr>
          <w:rFonts w:ascii="Arial" w:hAnsi="Arial" w:eastAsia="Arial" w:cs="Arial"/>
          <w:i/>
          <w:iCs/>
        </w:rPr>
      </w:r>
      <w:r>
        <w:rPr>
          <w:rFonts w:ascii="Arial" w:hAnsi="Arial" w:eastAsia="Arial" w:cs="Arial"/>
          <w:i/>
          <w:iCs/>
        </w:rPr>
        <w:t>Impf-Entscheidung</w:t>
      </w:r>
      <w:r>
        <w:rPr>
          <w:rFonts w:ascii="Arial" w:hAnsi="Arial" w:eastAsia="Arial" w:cs="Arial"/>
          <w:i/>
          <w:iCs/>
        </w:rPr>
      </w:r>
      <w:r>
        <w:rPr>
          <w:rFonts w:ascii="Arial" w:hAnsi="Arial" w:eastAsia="Arial" w:cs="Arial"/>
          <w:i/>
          <w:iCs/>
        </w:rPr>
        <w:t xml:space="preserve"> im Abschnitt „Als </w:t>
      </w:r>
      <w:r>
        <w:rPr>
          <w:rFonts w:ascii="Arial" w:hAnsi="Arial" w:eastAsia="Arial" w:cs="Arial"/>
          <w:i/>
          <w:iCs/>
        </w:rPr>
      </w:r>
      <w:r>
        <w:rPr>
          <w:rFonts w:ascii="Arial" w:hAnsi="Arial" w:eastAsia="Arial" w:cs="Arial"/>
          <w:i/>
          <w:iCs/>
        </w:rPr>
        <w:t>Patient...</w:t>
      </w:r>
      <w:r>
        <w:rPr>
          <w:rFonts w:ascii="Arial" w:hAnsi="Arial" w:eastAsia="Arial" w:cs="Arial"/>
          <w:i/>
          <w:iCs/>
        </w:rPr>
      </w:r>
      <w:r>
        <w:rPr>
          <w:rFonts w:ascii="Arial" w:hAnsi="Arial" w:eastAsia="Arial" w:cs="Arial"/>
          <w:i/>
          <w:iCs/>
        </w:rPr>
        <w:t xml:space="preserve">“ streichen — oder noch weitere Aspekte einzubringen. Wir empfehlen, das </w:t>
      </w:r>
      <w:r>
        <w:rPr>
          <w:rFonts w:ascii="Arial" w:hAnsi="Arial" w:eastAsia="Arial" w:cs="Arial"/>
          <w:i/>
          <w:iCs/>
        </w:rPr>
      </w:r>
      <w:r>
        <w:rPr>
          <w:rFonts w:ascii="Arial" w:hAnsi="Arial" w:eastAsia="Arial" w:cs="Arial"/>
          <w:i/>
          <w:iCs/>
        </w:rPr>
        <w:t>Impf-Thema</w:t>
      </w:r>
      <w:r>
        <w:rPr>
          <w:rFonts w:ascii="Arial" w:hAnsi="Arial" w:eastAsia="Arial" w:cs="Arial"/>
          <w:i/>
          <w:iCs/>
        </w:rPr>
      </w:r>
      <w:r>
        <w:rPr>
          <w:rFonts w:ascii="Arial" w:hAnsi="Arial" w:eastAsia="Arial" w:cs="Arial"/>
          <w:i/>
          <w:iCs/>
        </w:rPr>
        <w:t xml:space="preserve"> nicht mit der Homöopathie an sich zu vermischen.</w:t>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i/>
          <w:iCs/>
        </w:rPr>
      </w:pPr>
      <w:r>
        <w:rPr>
          <w:rFonts w:ascii="Arial" w:hAnsi="Arial" w:eastAsia="Arial" w:cs="Arial"/>
          <w:i/>
          <w:iCs/>
        </w:rP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i/>
          <w:iCs/>
        </w:rPr>
      </w:pPr>
      <w:r>
        <w:rPr>
          <w:rFonts w:ascii="Arial" w:hAnsi="Arial" w:eastAsia="Arial" w:cs="Arial"/>
          <w:i/>
          <w:iCs/>
        </w:rPr>
      </w:r>
    </w:p>
    <w:p>
      <w:pPr>
        <w:pStyle w:val="Text"/>
        <w:ind w:right="850"/>
        <w:spacing w:after="0"/>
        <w:tabs>
          <w:tab w:val="clear" w:pos="567" w:leader="none"/>
          <w:tab w:val="clear" w:pos="1134" w:leader="none"/>
          <w:tab w:val="clear" w:pos="1701" w:leader="none"/>
          <w:tab w:val="clear" w:pos="2268" w:leader="none"/>
          <w:tab w:val="clear" w:pos="2835" w:leader="none"/>
        </w:tabs>
        <w:pBdr>
          <w:top w:val="nil" w:sz="0" w:space="3" w:color="000000" tmln="20, 20, 20, 0"/>
          <w:left w:val="nil" w:sz="0" w:space="3" w:color="000000" tmln="20, 20, 20, 0"/>
          <w:bottom w:val="nil" w:sz="0" w:space="3" w:color="000000" tmln="20, 20, 20, 0"/>
          <w:right w:val="nil" w:sz="0" w:space="3" w:color="000000" tmln="20, 20, 20, 0"/>
          <w:between w:val="nil" w:sz="0" w:space="0" w:color="000000" tmln="20, 20, 20, 0"/>
        </w:pBdr>
        <w:shd w:val="solid" w:color="E8E8E8" tmshd="1527316736, 0, 16777215"/>
        <w:rPr>
          <w:rFonts w:ascii="Arial" w:hAnsi="Arial" w:eastAsia="Arial" w:cs="Arial"/>
          <w:b/>
          <w:bCs/>
        </w:rPr>
      </w:pPr>
      <w:r>
        <w:rPr>
          <w:rFonts w:ascii="Arial" w:hAnsi="Arial" w:eastAsia="Arial" w:cs="Arial"/>
          <w:b/>
          <w:bCs/>
        </w:rPr>
        <w:t>BRIEFVORLAGE / VORSCHLAG:</w:t>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t>[Betreff</w:t>
      </w:r>
      <w:r>
        <w:rPr>
          <w:rFonts w:ascii="Arial" w:hAnsi="Arial" w:eastAsia="Arial" w:cs="Arial"/>
        </w:rPr>
      </w:r>
      <w:r>
        <w:rPr>
          <w:rFonts w:ascii="Arial" w:hAnsi="Arial" w:eastAsia="Arial" w:cs="Arial"/>
        </w:rPr>
        <w:t>:</w:t>
      </w:r>
      <w:r>
        <w:rPr>
          <w:rFonts w:ascii="Arial" w:hAnsi="Arial" w:eastAsia="Arial" w:cs="Arial"/>
        </w:rPr>
      </w:r>
      <w:r>
        <w:rPr>
          <w:rFonts w:ascii="Arial" w:hAnsi="Arial" w:eastAsia="Arial" w:cs="Arial"/>
        </w:rPr>
        <w:t xml:space="preserve">] </w:t>
      </w:r>
      <w:r>
        <w:rPr>
          <w:rFonts w:ascii="Arial" w:hAnsi="Arial" w:eastAsia="Arial" w:cs="Arial"/>
          <w:b/>
          <w:bCs/>
        </w:rPr>
        <w:t>Grüne Gesundheitspolitik: ganzheitlich, nachhaltig und integrierend?</w:t>
      </w: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t xml:space="preserve">Sehr </w:t>
      </w:r>
      <w:r>
        <w:rPr>
          <w:rFonts w:ascii="Arial" w:hAnsi="Arial" w:eastAsia="Arial" w:cs="Arial"/>
        </w:rPr>
      </w:r>
      <w:r>
        <w:rPr>
          <w:rFonts w:ascii="Arial" w:hAnsi="Arial" w:eastAsia="Arial" w:cs="Arial"/>
        </w:rPr>
        <w:t>geehrte</w:t>
      </w:r>
      <w:r>
        <w:rPr>
          <w:rFonts w:ascii="Arial" w:hAnsi="Arial" w:eastAsia="Arial" w:cs="Arial"/>
        </w:rPr>
      </w:r>
      <w:r>
        <w:rPr>
          <w:rFonts w:ascii="Arial" w:hAnsi="Arial" w:eastAsia="Arial" w:cs="Arial"/>
        </w:rPr>
        <w:t xml:space="preserve"> ***</w:t>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t>[</w:t>
      </w:r>
      <w:r>
        <w:rPr>
          <w:rFonts w:ascii="Arial" w:hAnsi="Arial" w:eastAsia="Arial" w:cs="Arial"/>
        </w:rPr>
      </w:r>
      <w:r>
        <w:rPr>
          <w:rFonts w:ascii="Arial" w:hAnsi="Arial" w:eastAsia="Arial" w:cs="Arial"/>
        </w:rPr>
        <w:t>optional</w:t>
      </w:r>
      <w:r>
        <w:rPr>
          <w:rFonts w:ascii="Arial" w:hAnsi="Arial" w:eastAsia="Arial" w:cs="Arial"/>
        </w:rPr>
      </w:r>
      <w:r>
        <w:rPr>
          <w:rFonts w:ascii="Arial" w:hAnsi="Arial" w:eastAsia="Arial" w:cs="Arial"/>
        </w:rPr>
        <w:t xml:space="preserve"> ein oder zwei Sätze zur eigenen Person ...] </w:t>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pPr>
      <w:r>
        <w:rPr>
          <w:rFonts w:ascii="Arial" w:hAnsi="Arial" w:eastAsia="Arial" w:cs="Arial"/>
        </w:rPr>
        <w:t xml:space="preserve">Als aufgeklärte/r Patient / Patientin beobachte ich den gesundheitspolitischen Diskurs der </w:t>
      </w:r>
      <w:r>
        <w:rPr>
          <w:rFonts w:ascii="Arial" w:hAnsi="Arial" w:eastAsia="Arial" w:cs="Arial"/>
        </w:rPr>
      </w:r>
      <w:r>
        <w:rPr>
          <w:rFonts w:ascii="Arial" w:hAnsi="Arial" w:eastAsia="Arial" w:cs="Arial"/>
        </w:rPr>
        <w:t>Grünen</w:t>
      </w:r>
      <w:r>
        <w:rPr>
          <w:rFonts w:ascii="Arial" w:hAnsi="Arial" w:eastAsia="Arial" w:cs="Arial"/>
        </w:rPr>
      </w:r>
      <w:r>
        <w:rPr>
          <w:rFonts w:ascii="Arial" w:hAnsi="Arial" w:eastAsia="Arial" w:cs="Arial"/>
        </w:rPr>
        <w:t xml:space="preserve"> Partei im Vorfeld der 44. </w:t>
      </w:r>
      <w:r>
        <w:rPr>
          <w:rFonts w:ascii="Arial" w:hAnsi="Arial" w:eastAsia="Arial" w:cs="Arial"/>
        </w:rPr>
      </w:r>
      <w:r>
        <w:rPr>
          <w:rFonts w:ascii="Arial" w:hAnsi="Arial" w:eastAsia="Arial" w:cs="Arial"/>
        </w:rPr>
        <w:t>Bundesdelegierten-Konferenz</w:t>
      </w:r>
      <w:r>
        <w:rPr>
          <w:rFonts w:ascii="Arial" w:hAnsi="Arial" w:eastAsia="Arial" w:cs="Arial"/>
        </w:rPr>
      </w:r>
      <w:r>
        <w:rPr>
          <w:rFonts w:ascii="Arial" w:hAnsi="Arial" w:eastAsia="Arial" w:cs="Arial"/>
        </w:rPr>
        <w:t xml:space="preserve"> mit Erstaunen, mit Sorge und auch ein wenig Hoffnung. Ich beziehe mich dabei auf die unter </w:t>
      </w:r>
      <w:hyperlink r:id="rId9" w:history="1">
        <w:r>
          <w:rPr>
            <w:rStyle w:val="Internetverknpfung"/>
            <w:rFonts w:ascii="Arial" w:hAnsi="Arial" w:eastAsia="Arial" w:cs="Arial"/>
          </w:rPr>
          <w:t>https://antraege.gruene.de/44bdk</w:t>
        </w:r>
      </w:hyperlink>
      <w:r>
        <w:rPr>
          <w:rFonts w:ascii="Arial" w:hAnsi="Arial" w:eastAsia="Arial" w:cs="Arial"/>
        </w:rPr>
        <w:t xml:space="preserve"> </w:t>
      </w:r>
      <w:r>
        <w:rPr>
          <w:rFonts w:ascii="Arial" w:hAnsi="Arial" w:eastAsia="Arial" w:cs="Arial"/>
        </w:rPr>
      </w:r>
      <w:r>
        <w:rPr>
          <w:rFonts w:ascii="Arial" w:hAnsi="Arial" w:eastAsia="Arial" w:cs="Arial"/>
        </w:rPr>
        <w:t>einsehbaren Anträge</w:t>
      </w:r>
      <w:r>
        <w:rPr>
          <w:rFonts w:ascii="Arial" w:hAnsi="Arial" w:eastAsia="Arial" w:cs="Arial"/>
        </w:rPr>
      </w:r>
      <w:r>
        <w:rPr>
          <w:rFonts w:ascii="Arial" w:hAnsi="Arial" w:eastAsia="Arial" w:cs="Arial"/>
        </w:rPr>
        <w:t>.</w:t>
      </w: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t xml:space="preserve">Mit </w:t>
      </w:r>
      <w:r>
        <w:rPr>
          <w:rFonts w:ascii="Arial" w:hAnsi="Arial" w:eastAsia="Arial" w:cs="Arial"/>
          <w:b/>
          <w:bCs/>
        </w:rPr>
        <w:t>Erstaunen</w:t>
      </w:r>
      <w:r>
        <w:rPr>
          <w:rFonts w:ascii="Arial" w:hAnsi="Arial" w:eastAsia="Arial" w:cs="Arial"/>
        </w:rPr>
        <w:t xml:space="preserve">, </w:t>
      </w:r>
      <w:r>
        <w:rPr>
          <w:rFonts w:ascii="Arial" w:hAnsi="Arial" w:eastAsia="Arial" w:cs="Arial"/>
        </w:rPr>
      </w:r>
      <w:r>
        <w:rPr>
          <w:rFonts w:ascii="Arial" w:hAnsi="Arial" w:eastAsia="Arial" w:cs="Arial"/>
        </w:rPr>
        <w:t>dass</w:t>
      </w:r>
      <w:r>
        <w:rPr>
          <w:rFonts w:ascii="Arial" w:hAnsi="Arial" w:eastAsia="Arial" w:cs="Arial"/>
        </w:rPr>
      </w:r>
      <w:r>
        <w:rPr>
          <w:rFonts w:ascii="Arial" w:hAnsi="Arial" w:eastAsia="Arial" w:cs="Arial"/>
        </w:rPr>
        <w:t xml:space="preserve"> ausgerechnet die „Grüne Jugend“ – und mit der </w:t>
      </w:r>
      <w:r>
        <w:rPr>
          <w:rFonts w:ascii="Arial" w:hAnsi="Arial" w:eastAsia="Arial" w:cs="Arial"/>
        </w:rPr>
      </w:r>
      <w:r>
        <w:rPr>
          <w:rFonts w:ascii="Arial" w:hAnsi="Arial" w:eastAsia="Arial" w:cs="Arial"/>
        </w:rPr>
        <w:t>Nachwuchs-Organisation</w:t>
      </w:r>
      <w:r>
        <w:rPr>
          <w:rFonts w:ascii="Arial" w:hAnsi="Arial" w:eastAsia="Arial" w:cs="Arial"/>
        </w:rPr>
      </w:r>
      <w:r>
        <w:rPr>
          <w:rFonts w:ascii="Arial" w:hAnsi="Arial" w:eastAsia="Arial" w:cs="Arial"/>
        </w:rPr>
        <w:t xml:space="preserve"> womöglich das künftige Personal der Partei selbst – einen Antrag vorbrachte (Antrag </w:t>
      </w:r>
      <w:r>
        <w:rPr>
          <w:rFonts w:ascii="Arial" w:hAnsi="Arial" w:eastAsia="Arial" w:cs="Arial"/>
          <w:b/>
          <w:bCs/>
        </w:rPr>
      </w:r>
      <w:r>
        <w:rPr>
          <w:rFonts w:ascii="Arial" w:hAnsi="Arial" w:eastAsia="Arial" w:cs="Arial"/>
          <w:b/>
          <w:bCs/>
        </w:rPr>
      </w:r>
      <w:r>
        <w:rPr>
          <w:rFonts w:ascii="Arial" w:hAnsi="Arial" w:eastAsia="Arial" w:cs="Arial"/>
          <w:b/>
          <w:bCs/>
        </w:rPr>
        <w:t>V-01</w:t>
      </w:r>
      <w:r>
        <w:rPr>
          <w:rFonts w:ascii="Arial" w:hAnsi="Arial" w:eastAsia="Arial" w:cs="Arial"/>
        </w:rPr>
      </w:r>
      <w:r>
        <w:rPr>
          <w:rFonts w:ascii="Arial" w:hAnsi="Arial" w:eastAsia="Arial" w:cs="Arial"/>
        </w:rPr>
      </w:r>
      <w:r>
        <w:rPr>
          <w:rFonts w:ascii="Arial" w:hAnsi="Arial" w:eastAsia="Arial" w:cs="Arial"/>
        </w:rPr>
        <w:t xml:space="preserve">), der eine vorgebliche „Bevorteilung der Homöopathie“ beenden soll. Bei näherer Betrachtung stimmen Inhalte wie auch sachliche Fehler ganz mit dem Anti-Homöopathie-Netzwerk </w:t>
      </w:r>
      <w:r>
        <w:rPr>
          <w:rFonts w:ascii="Arial" w:hAnsi="Arial" w:eastAsia="Arial" w:cs="Arial"/>
        </w:rPr>
      </w:r>
      <w:r>
        <w:rPr>
          <w:rFonts w:ascii="Arial" w:hAnsi="Arial" w:eastAsia="Arial" w:cs="Arial"/>
        </w:rPr>
        <w:t>INH</w:t>
      </w:r>
      <w:r>
        <w:rPr>
          <w:rFonts w:ascii="Arial" w:hAnsi="Arial" w:eastAsia="Arial" w:cs="Arial"/>
        </w:rPr>
      </w:r>
      <w:r>
        <w:rPr>
          <w:rFonts w:ascii="Arial" w:hAnsi="Arial" w:eastAsia="Arial" w:cs="Arial"/>
        </w:rPr>
        <w:t>/</w:t>
      </w:r>
      <w:r>
        <w:rPr>
          <w:rFonts w:ascii="Arial" w:hAnsi="Arial" w:eastAsia="Arial" w:cs="Arial"/>
        </w:rPr>
      </w:r>
      <w:r>
        <w:rPr>
          <w:rFonts w:ascii="Arial" w:hAnsi="Arial" w:eastAsia="Arial" w:cs="Arial"/>
        </w:rPr>
        <w:t>GWUP</w:t>
      </w:r>
      <w:r>
        <w:rPr>
          <w:rFonts w:ascii="Arial" w:hAnsi="Arial" w:eastAsia="Arial" w:cs="Arial"/>
        </w:rPr>
      </w:r>
      <w:r>
        <w:rPr>
          <w:rFonts w:ascii="Arial" w:hAnsi="Arial" w:eastAsia="Arial" w:cs="Arial"/>
        </w:rPr>
        <w:t xml:space="preserve"> überein (</w:t>
      </w:r>
      <w:r>
        <w:rPr>
          <w:rFonts w:ascii="Arial" w:hAnsi="Arial" w:eastAsia="Arial" w:cs="Arial"/>
        </w:rPr>
      </w:r>
      <w:r>
        <w:rPr>
          <w:rFonts w:ascii="Arial" w:hAnsi="Arial" w:eastAsia="Arial" w:cs="Arial"/>
        </w:rPr>
        <w:t>international auch CSI, Committee for Sceptical Inquiry</w:t>
      </w:r>
      <w:r>
        <w:rPr>
          <w:rFonts w:ascii="Arial" w:hAnsi="Arial" w:eastAsia="Arial" w:cs="Arial"/>
        </w:rPr>
      </w:r>
      <w:r>
        <w:rPr>
          <w:rFonts w:ascii="Arial" w:hAnsi="Arial" w:eastAsia="Arial" w:cs="Arial"/>
        </w:rPr>
        <w:t xml:space="preserve">), dahinter stehen auch professionelle Agenturen. In den entsprechenden Netzwerken begeistert man sich gleichermaßen für Gentechnik und </w:t>
      </w:r>
      <w:r>
        <w:rPr>
          <w:rFonts w:ascii="Arial" w:hAnsi="Arial" w:eastAsia="Arial" w:cs="Arial"/>
        </w:rPr>
      </w:r>
      <w:r>
        <w:rPr>
          <w:rFonts w:ascii="Arial" w:hAnsi="Arial" w:eastAsia="Arial" w:cs="Arial"/>
        </w:rPr>
        <w:t>Thorium-Brutreaktoren</w:t>
      </w:r>
      <w:r>
        <w:rPr>
          <w:rFonts w:ascii="Arial" w:hAnsi="Arial" w:eastAsia="Arial" w:cs="Arial"/>
        </w:rPr>
      </w:r>
      <w:r>
        <w:rPr>
          <w:rFonts w:ascii="Arial" w:hAnsi="Arial" w:eastAsia="Arial" w:cs="Arial"/>
        </w:rPr>
        <w:t xml:space="preserve"> (zur CO2-reduzierten Weiterführung der elektrischen Mobilitätswende). Wie „grün“ ist das alles?</w:t>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t xml:space="preserve">Mit </w:t>
      </w:r>
      <w:r>
        <w:rPr>
          <w:rFonts w:ascii="Arial" w:hAnsi="Arial" w:eastAsia="Arial" w:cs="Arial"/>
          <w:b/>
          <w:bCs/>
        </w:rPr>
        <w:t>Sorge</w:t>
      </w:r>
      <w:r>
        <w:rPr>
          <w:rFonts w:ascii="Arial" w:hAnsi="Arial" w:eastAsia="Arial" w:cs="Arial"/>
        </w:rPr>
        <w:t xml:space="preserve"> beobachte ich dies, weil eine Instrumentalisierung von Parteiorganisationen durch außenstehende Gruppen für jede demokratische Partei problematisch und für die Grünen </w:t>
      </w:r>
      <w:r>
        <w:rPr>
          <w:rFonts w:ascii="Arial" w:hAnsi="Arial" w:eastAsia="Arial" w:cs="Arial"/>
        </w:rPr>
      </w:r>
      <w:r>
        <w:rPr>
          <w:rFonts w:ascii="Arial" w:hAnsi="Arial" w:eastAsia="Arial" w:cs="Arial"/>
        </w:rPr>
        <w:t>potenziell</w:t>
      </w:r>
      <w:r>
        <w:rPr>
          <w:rFonts w:ascii="Arial" w:hAnsi="Arial" w:eastAsia="Arial" w:cs="Arial"/>
        </w:rPr>
      </w:r>
      <w:r>
        <w:rPr>
          <w:rFonts w:ascii="Arial" w:hAnsi="Arial" w:eastAsia="Arial" w:cs="Arial"/>
        </w:rPr>
        <w:t xml:space="preserve"> spaltend ist. Weil die besagten Überzeugungstäter die FDP, die SPD und die CDU mit genau den gleichen Botschaften zutexten. Weil eine blinde Wissenschaftsgläubigkeit propagiert wird, die ebenso wenig hilfreich ist wie die Ignoranz wissenschaftlicher Erkenntnisse. Weil ich die Ideologie dahinter beobachte, die einen Trans- und </w:t>
      </w:r>
      <w:r>
        <w:rPr>
          <w:rFonts w:ascii="Arial" w:hAnsi="Arial" w:eastAsia="Arial" w:cs="Arial"/>
        </w:rPr>
      </w:r>
      <w:r>
        <w:rPr>
          <w:rFonts w:ascii="Arial" w:hAnsi="Arial" w:eastAsia="Arial" w:cs="Arial"/>
        </w:rPr>
        <w:t>Neo-Humanismus</w:t>
      </w:r>
      <w:r>
        <w:rPr>
          <w:rFonts w:ascii="Arial" w:hAnsi="Arial" w:eastAsia="Arial" w:cs="Arial"/>
        </w:rPr>
      </w:r>
      <w:r>
        <w:rPr>
          <w:rFonts w:ascii="Arial" w:hAnsi="Arial" w:eastAsia="Arial" w:cs="Arial"/>
        </w:rPr>
        <w:t xml:space="preserve"> anstrebt mit einem Weltbild, das Mensch, Natur und Kosmos auf die durch heutige naturwissenschaftliche Methoden erkennbaren „Fakten“ reduziert. Der Glauben an die vorwiegend technologische Lösbarkeit der Menschheitsprobleme kann dabei Züge einer Pseudoreligion annehmen.</w:t>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t xml:space="preserve">Mit </w:t>
      </w:r>
      <w:r>
        <w:rPr>
          <w:rFonts w:ascii="Arial" w:hAnsi="Arial" w:eastAsia="Arial" w:cs="Arial"/>
          <w:b/>
          <w:bCs/>
        </w:rPr>
        <w:t>Hoffnung</w:t>
      </w:r>
      <w:r>
        <w:rPr>
          <w:rFonts w:ascii="Arial" w:hAnsi="Arial" w:eastAsia="Arial" w:cs="Arial"/>
        </w:rPr>
        <w:t xml:space="preserve"> beobachte ich, dass die zwischenzeitlich vorgebrachten Anträge </w:t>
      </w:r>
      <w:r>
        <w:rPr>
          <w:rFonts w:ascii="Arial" w:hAnsi="Arial" w:eastAsia="Arial" w:cs="Arial"/>
          <w:b/>
          <w:bCs/>
        </w:rPr>
      </w:r>
      <w:r>
        <w:rPr>
          <w:rFonts w:ascii="Arial" w:hAnsi="Arial" w:eastAsia="Arial" w:cs="Arial"/>
          <w:b/>
          <w:bCs/>
        </w:rPr>
      </w:r>
      <w:r>
        <w:rPr>
          <w:rFonts w:ascii="Arial" w:hAnsi="Arial" w:eastAsia="Arial" w:cs="Arial"/>
          <w:b/>
          <w:bCs/>
        </w:rPr>
        <w:t>V-04</w:t>
      </w:r>
      <w:r>
        <w:rPr>
          <w:rFonts w:ascii="Arial" w:hAnsi="Arial" w:eastAsia="Arial" w:cs="Arial"/>
        </w:rPr>
      </w:r>
      <w:r>
        <w:rPr>
          <w:rFonts w:ascii="Arial" w:hAnsi="Arial" w:eastAsia="Arial" w:cs="Arial"/>
        </w:rPr>
      </w:r>
      <w:r>
        <w:rPr>
          <w:rFonts w:ascii="Arial" w:hAnsi="Arial" w:eastAsia="Arial" w:cs="Arial"/>
        </w:rPr>
        <w:t xml:space="preserve">, </w:t>
      </w:r>
      <w:r>
        <w:rPr>
          <w:rFonts w:ascii="Arial" w:hAnsi="Arial" w:eastAsia="Arial" w:cs="Arial"/>
          <w:b/>
          <w:bCs/>
        </w:rPr>
      </w:r>
      <w:r>
        <w:rPr>
          <w:rFonts w:ascii="Arial" w:hAnsi="Arial" w:eastAsia="Arial" w:cs="Arial"/>
          <w:b/>
          <w:bCs/>
        </w:rPr>
      </w:r>
      <w:r>
        <w:rPr>
          <w:rFonts w:ascii="Arial" w:hAnsi="Arial" w:eastAsia="Arial" w:cs="Arial"/>
          <w:b/>
          <w:bCs/>
        </w:rPr>
        <w:t>V-19</w:t>
      </w:r>
      <w:r>
        <w:rPr>
          <w:rFonts w:ascii="Arial" w:hAnsi="Arial" w:eastAsia="Arial" w:cs="Arial"/>
        </w:rPr>
      </w:r>
      <w:r>
        <w:rPr>
          <w:rFonts w:ascii="Arial" w:hAnsi="Arial" w:eastAsia="Arial" w:cs="Arial"/>
        </w:rPr>
      </w:r>
      <w:r>
        <w:rPr>
          <w:rFonts w:ascii="Arial" w:hAnsi="Arial" w:eastAsia="Arial" w:cs="Arial"/>
        </w:rPr>
        <w:t xml:space="preserve"> und </w:t>
      </w:r>
      <w:r>
        <w:rPr>
          <w:rFonts w:ascii="Arial" w:hAnsi="Arial" w:eastAsia="Arial" w:cs="Arial"/>
          <w:b/>
          <w:bCs/>
        </w:rPr>
      </w:r>
      <w:r>
        <w:rPr>
          <w:rFonts w:ascii="Arial" w:hAnsi="Arial" w:eastAsia="Arial" w:cs="Arial"/>
          <w:b/>
          <w:bCs/>
        </w:rPr>
      </w:r>
      <w:r>
        <w:rPr>
          <w:rFonts w:ascii="Arial" w:hAnsi="Arial" w:eastAsia="Arial" w:cs="Arial"/>
          <w:b/>
          <w:bCs/>
        </w:rPr>
        <w:t>V-44</w:t>
      </w:r>
      <w:r>
        <w:rPr>
          <w:rFonts w:ascii="Arial" w:hAnsi="Arial" w:eastAsia="Arial" w:cs="Arial"/>
        </w:rPr>
      </w:r>
      <w:r>
        <w:rPr>
          <w:rFonts w:ascii="Arial" w:hAnsi="Arial" w:eastAsia="Arial" w:cs="Arial"/>
        </w:rPr>
      </w:r>
      <w:r>
        <w:rPr>
          <w:rFonts w:ascii="Arial" w:hAnsi="Arial" w:eastAsia="Arial" w:cs="Arial"/>
        </w:rPr>
        <w:t xml:space="preserve"> eine echte Chance für die Grünen sind, </w:t>
      </w:r>
      <w:r>
        <w:rPr>
          <w:rFonts w:ascii="Arial" w:hAnsi="Arial" w:eastAsia="Arial" w:cs="Arial"/>
        </w:rPr>
      </w:r>
      <w:r>
        <w:rPr>
          <w:rFonts w:ascii="Arial" w:hAnsi="Arial" w:eastAsia="Arial" w:cs="Arial"/>
        </w:rPr>
        <w:t>ihr</w:t>
      </w:r>
      <w:r>
        <w:rPr>
          <w:rFonts w:ascii="Arial" w:hAnsi="Arial" w:eastAsia="Arial" w:cs="Arial"/>
        </w:rPr>
      </w:r>
      <w:r>
        <w:rPr>
          <w:rFonts w:ascii="Arial" w:hAnsi="Arial" w:eastAsia="Arial" w:cs="Arial"/>
        </w:rPr>
        <w:t xml:space="preserve"> gesundheitspolitisches Profil umfassend zu aktualisieren im Sinne eines ökologischen, nachhaltigen, wirksamen und integrierenden solidarischen Gesundheitswesens, das auf gesundheitliche Selbstbestimmung gründet und Gesundheitsförderung unterstützt. Gleich, wie mit den Anträgen nun verfahrenstechnisch umgegangen wird: Dieser Prozess wird über die </w:t>
      </w:r>
      <w:r>
        <w:rPr>
          <w:rFonts w:ascii="Arial" w:hAnsi="Arial" w:eastAsia="Arial" w:cs="Arial"/>
        </w:rPr>
      </w:r>
      <w:r>
        <w:rPr>
          <w:rFonts w:ascii="Arial" w:hAnsi="Arial" w:eastAsia="Arial" w:cs="Arial"/>
        </w:rPr>
        <w:t>Bundesdelegierten-Konferenz</w:t>
      </w:r>
      <w:r>
        <w:rPr>
          <w:rFonts w:ascii="Arial" w:hAnsi="Arial" w:eastAsia="Arial" w:cs="Arial"/>
        </w:rPr>
      </w:r>
      <w:r>
        <w:rPr>
          <w:rFonts w:ascii="Arial" w:hAnsi="Arial" w:eastAsia="Arial" w:cs="Arial"/>
        </w:rPr>
        <w:t xml:space="preserve"> hinaus fortzusetzen sein und muss Experten aller Richtungen einbeziehen.</w:t>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b/>
          <w:bCs/>
        </w:rPr>
        <w:t>Hoffnungen</w:t>
      </w:r>
      <w:r>
        <w:rPr>
          <w:rFonts w:ascii="Arial" w:hAnsi="Arial" w:eastAsia="Arial" w:cs="Arial"/>
        </w:rPr>
        <w:t xml:space="preserve"> habe ich auch für eine ökologischere Landwirtschaft. So ließen sich beispielsweise in der Milchviehhaltung, nach Evaluierungen </w:t>
      </w:r>
      <w:r>
        <w:rPr>
          <w:rFonts w:ascii="Arial" w:hAnsi="Arial" w:eastAsia="Arial" w:cs="Arial"/>
        </w:rPr>
      </w:r>
      <w:r>
        <w:rPr>
          <w:rFonts w:ascii="Arial" w:hAnsi="Arial" w:eastAsia="Arial" w:cs="Arial"/>
        </w:rPr>
        <w:t>u.a.</w:t>
      </w:r>
      <w:r>
        <w:rPr>
          <w:rFonts w:ascii="Arial" w:hAnsi="Arial" w:eastAsia="Arial" w:cs="Arial"/>
        </w:rPr>
      </w:r>
      <w:r>
        <w:rPr>
          <w:rFonts w:ascii="Arial" w:hAnsi="Arial" w:eastAsia="Arial" w:cs="Arial"/>
        </w:rPr>
        <w:t xml:space="preserve"> der Molkereien Berchtesgadener Land und </w:t>
      </w:r>
      <w:r>
        <w:rPr>
          <w:rFonts w:ascii="Arial" w:hAnsi="Arial" w:eastAsia="Arial" w:cs="Arial"/>
        </w:rPr>
      </w:r>
      <w:r>
        <w:rPr>
          <w:rFonts w:ascii="Arial" w:hAnsi="Arial" w:eastAsia="Arial" w:cs="Arial"/>
        </w:rPr>
        <w:t>ZOTT</w:t>
      </w:r>
      <w:r>
        <w:rPr>
          <w:rFonts w:ascii="Arial" w:hAnsi="Arial" w:eastAsia="Arial" w:cs="Arial"/>
        </w:rPr>
      </w:r>
      <w:r>
        <w:rPr>
          <w:rFonts w:ascii="Arial" w:hAnsi="Arial" w:eastAsia="Arial" w:cs="Arial"/>
        </w:rPr>
        <w:t xml:space="preserve">, durch </w:t>
      </w:r>
      <w:r>
        <w:rPr>
          <w:rFonts w:ascii="Arial" w:hAnsi="Arial" w:eastAsia="Arial" w:cs="Arial"/>
        </w:rPr>
      </w:r>
      <w:r>
        <w:rPr>
          <w:rFonts w:ascii="Arial" w:hAnsi="Arial" w:eastAsia="Arial" w:cs="Arial"/>
        </w:rPr>
        <w:t>Homöopathie-Anwendung</w:t>
      </w:r>
      <w:r>
        <w:rPr>
          <w:rFonts w:ascii="Arial" w:hAnsi="Arial" w:eastAsia="Arial" w:cs="Arial"/>
        </w:rPr>
      </w:r>
      <w:r>
        <w:rPr>
          <w:rFonts w:ascii="Arial" w:hAnsi="Arial" w:eastAsia="Arial" w:cs="Arial"/>
        </w:rPr>
        <w:t xml:space="preserve"> bis zu </w:t>
      </w:r>
      <w:r>
        <w:rPr>
          <w:rFonts w:ascii="Arial" w:hAnsi="Arial" w:eastAsia="Arial" w:cs="Arial"/>
        </w:rPr>
      </w:r>
      <w:r>
        <w:rPr>
          <w:rFonts w:ascii="Arial" w:hAnsi="Arial" w:eastAsia="Arial" w:cs="Arial"/>
        </w:rPr>
        <w:t>80%</w:t>
      </w:r>
      <w:r>
        <w:rPr>
          <w:rFonts w:ascii="Arial" w:hAnsi="Arial" w:eastAsia="Arial" w:cs="Arial"/>
        </w:rPr>
      </w:r>
      <w:r>
        <w:rPr>
          <w:rFonts w:ascii="Arial" w:hAnsi="Arial" w:eastAsia="Arial" w:cs="Arial"/>
        </w:rPr>
        <w:t xml:space="preserve"> der Antibiotika einsparen. Sind Rinder besonders gute </w:t>
      </w:r>
      <w:r>
        <w:rPr>
          <w:rFonts w:ascii="Arial" w:hAnsi="Arial" w:eastAsia="Arial" w:cs="Arial"/>
        </w:rPr>
      </w:r>
      <w:r>
        <w:rPr>
          <w:rFonts w:ascii="Arial" w:hAnsi="Arial" w:eastAsia="Arial" w:cs="Arial"/>
        </w:rPr>
        <w:t>Placebo-Responder</w:t>
      </w:r>
      <w:r>
        <w:rPr>
          <w:rFonts w:ascii="Arial" w:hAnsi="Arial" w:eastAsia="Arial" w:cs="Arial"/>
        </w:rPr>
      </w:r>
      <w:r>
        <w:rPr>
          <w:rFonts w:ascii="Arial" w:hAnsi="Arial" w:eastAsia="Arial" w:cs="Arial"/>
        </w:rPr>
        <w:t>? Aha ... dies</w:t>
      </w:r>
      <w:r>
        <w:rPr>
          <w:rFonts w:ascii="Arial" w:hAnsi="Arial" w:eastAsia="Arial" w:cs="Arial"/>
        </w:rPr>
      </w:r>
      <w:r>
        <w:rPr>
          <w:rFonts w:ascii="Arial" w:hAnsi="Arial" w:eastAsia="Arial" w:cs="Arial"/>
        </w:rPr>
        <w:t xml:space="preserve"> sind wichtige Perspektiven für eine grüne Agrarpolitik!</w:t>
        <w:br w:type="textWrapping"/>
      </w:r>
      <w:hyperlink r:id="rId10" w:history="1">
        <w:r>
          <w:rPr>
            <w:rStyle w:val="Hyperlink"/>
            <w:rFonts w:ascii="Arial" w:hAnsi="Arial" w:eastAsia="Arial" w:cs="Arial"/>
          </w:rPr>
          <w:t>https://www.vkhd.de/news-arten-mobil/news-archiv/news-2017/item/320-homoeopathie-hilft-einsatz-von-antibiotika-in-der-milchviehhaltung-zu-reduzieren</w:t>
        </w:r>
      </w:hyperlink>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pPr>
      <w:r>
        <w:rPr>
          <w:rFonts w:ascii="Arial" w:hAnsi="Arial" w:eastAsia="Arial" w:cs="Arial"/>
        </w:rPr>
        <w:t xml:space="preserve">Selbstverständlich unterstütze ich die </w:t>
      </w:r>
      <w:r>
        <w:rPr>
          <w:rFonts w:ascii="Arial" w:hAnsi="Arial" w:eastAsia="Arial" w:cs="Arial"/>
          <w:b/>
          <w:bCs/>
        </w:rPr>
        <w:t>verfassungsrechtlich gebotene Gleichbehandlung</w:t>
      </w:r>
      <w:r>
        <w:rPr>
          <w:rFonts w:ascii="Arial" w:hAnsi="Arial" w:eastAsia="Arial" w:cs="Arial"/>
        </w:rPr>
        <w:t xml:space="preserve"> von Therapiemethoden, wobei Gleichbehandlung voraussetzt, der Natur nach unterschiedliche Dinge auch unterschiedlich zu behandeln. Die im Antrag </w:t>
      </w:r>
      <w:r>
        <w:rPr>
          <w:rFonts w:ascii="Arial" w:hAnsi="Arial" w:eastAsia="Arial" w:cs="Arial"/>
          <w:b/>
          <w:bCs/>
        </w:rPr>
      </w:r>
      <w:r>
        <w:rPr>
          <w:rFonts w:ascii="Arial" w:hAnsi="Arial" w:eastAsia="Arial" w:cs="Arial"/>
          <w:b/>
          <w:bCs/>
        </w:rPr>
      </w:r>
      <w:r>
        <w:rPr>
          <w:rFonts w:ascii="Arial" w:hAnsi="Arial" w:eastAsia="Arial" w:cs="Arial"/>
          <w:b/>
          <w:bCs/>
        </w:rPr>
        <w:t>V-01</w:t>
      </w:r>
      <w:r>
        <w:rPr>
          <w:rFonts w:ascii="Arial" w:hAnsi="Arial" w:eastAsia="Arial" w:cs="Arial"/>
        </w:rPr>
      </w:r>
      <w:r>
        <w:rPr>
          <w:rFonts w:ascii="Arial" w:hAnsi="Arial" w:eastAsia="Arial" w:cs="Arial"/>
        </w:rPr>
      </w:r>
      <w:r>
        <w:rPr>
          <w:rFonts w:ascii="Arial" w:hAnsi="Arial" w:eastAsia="Arial" w:cs="Arial"/>
        </w:rPr>
        <w:t xml:space="preserve"> behauptete „Bevorteilung“ der Homöopathie ist unwahr. Andernfalls ließe sich zwecks Gleichbehandlung auch fordern, Luftschiffe mit Rettungsbooten oder ICE-Züge mit Schwimmwesten auszustatten. Arzneimittelgesetz und SGB-V berücksichtigen lediglich, dass bestimmte Arzneimittel nach anderen Kriterien denn als nach Diagnosen verschrieben werden. Daher dürfen für diese auch keine Indikationen angegeben werden. Bei den Anforderungen an die Arzneimittelsicherheit macht die Zulassungsbehörde </w:t>
      </w:r>
      <w:r>
        <w:rPr>
          <w:rFonts w:ascii="Arial" w:hAnsi="Arial" w:eastAsia="Arial" w:cs="Arial"/>
        </w:rPr>
      </w:r>
      <w:r>
        <w:rPr>
          <w:rFonts w:ascii="Arial" w:hAnsi="Arial" w:eastAsia="Arial" w:cs="Arial"/>
        </w:rPr>
        <w:t>BfArM</w:t>
      </w:r>
      <w:r>
        <w:rPr>
          <w:rFonts w:ascii="Arial" w:hAnsi="Arial" w:eastAsia="Arial" w:cs="Arial"/>
        </w:rPr>
      </w:r>
      <w:r>
        <w:rPr>
          <w:rFonts w:ascii="Arial" w:hAnsi="Arial" w:eastAsia="Arial" w:cs="Arial"/>
        </w:rPr>
        <w:t xml:space="preserve"> allerdings keinerlei Zugeständnisse. Der Antrag </w:t>
      </w:r>
      <w:r>
        <w:rPr>
          <w:rFonts w:ascii="Arial" w:hAnsi="Arial" w:eastAsia="Arial" w:cs="Arial"/>
        </w:rPr>
      </w:r>
      <w:r>
        <w:rPr>
          <w:rFonts w:ascii="Arial" w:hAnsi="Arial" w:eastAsia="Arial" w:cs="Arial"/>
        </w:rPr>
        <w:t>V-01</w:t>
      </w:r>
      <w:r>
        <w:rPr>
          <w:rFonts w:ascii="Arial" w:hAnsi="Arial" w:eastAsia="Arial" w:cs="Arial"/>
        </w:rPr>
      </w:r>
      <w:r>
        <w:rPr>
          <w:rFonts w:ascii="Arial" w:hAnsi="Arial" w:eastAsia="Arial" w:cs="Arial"/>
        </w:rPr>
        <w:t xml:space="preserve"> beruht insgesamt auf falschen Prämissen; für eine detaillierte Kommentierung siehe bspw. </w:t>
      </w:r>
      <w:hyperlink r:id="rId11" w:history="1">
        <w:r>
          <w:rPr>
            <w:rStyle w:val="Internetverknpfung"/>
            <w:rFonts w:ascii="Arial" w:hAnsi="Arial" w:eastAsia="Arial" w:cs="Arial"/>
          </w:rPr>
          <w:br w:type="textWrapping"/>
        </w:r>
        <w:r>
          <w:rPr>
            <w:rStyle w:val="Internetverknpfung"/>
            <w:rFonts w:ascii="Arial" w:hAnsi="Arial" w:eastAsia="Arial" w:cs="Arial"/>
          </w:rPr>
        </w:r>
        <w:r>
          <w:rPr>
            <w:rStyle w:val="Internetverknpfung"/>
            <w:rFonts w:ascii="Arial" w:hAnsi="Arial" w:eastAsia="Arial" w:cs="Arial"/>
          </w:rPr>
        </w:r>
        <w:r>
          <w:rPr>
            <w:rStyle w:val="Internetverknpfung"/>
            <w:rFonts w:ascii="Arial" w:hAnsi="Arial" w:eastAsia="Arial" w:cs="Arial"/>
          </w:rPr>
          <w:t>https://www.arscurandi.de/offener-brief-an-buendnis-90-die-gruenen</w:t>
        </w:r>
        <w:r>
          <w:rPr>
            <w:rStyle w:val="Internetverknpfung"/>
            <w:rFonts w:ascii="Arial" w:hAnsi="Arial" w:eastAsia="Arial" w:cs="Arial"/>
          </w:rPr>
        </w:r>
        <w:r>
          <w:rPr>
            <w:rStyle w:val="Internetverknpfung"/>
            <w:rFonts w:ascii="Arial" w:hAnsi="Arial" w:eastAsia="Arial" w:cs="Arial"/>
          </w:rPr>
        </w:r>
        <w:r>
          <w:rPr>
            <w:rStyle w:val="Internetverknpfung"/>
            <w:rFonts w:ascii="Arial" w:hAnsi="Arial" w:eastAsia="Arial" w:cs="Arial"/>
          </w:rPr>
        </w:r>
        <w:r>
          <w:rPr>
            <w:rStyle w:val="Internetverknpfung"/>
            <w:rFonts w:ascii="Arial" w:hAnsi="Arial" w:eastAsia="Arial" w:cs="Arial"/>
          </w:rPr>
          <w:t>/</w:t>
        </w:r>
      </w:hyperlink>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pPr>
      <w:r>
        <w:rPr>
          <w:rFonts w:ascii="Arial" w:hAnsi="Arial" w:eastAsia="Arial" w:cs="Arial"/>
        </w:rPr>
        <w:t xml:space="preserve">Die </w:t>
      </w:r>
      <w:r>
        <w:rPr>
          <w:rFonts w:ascii="Arial" w:hAnsi="Arial" w:eastAsia="Arial" w:cs="Arial"/>
          <w:b/>
          <w:bCs/>
        </w:rPr>
        <w:t>wissenschaftliche Kontroverse</w:t>
      </w:r>
      <w:r>
        <w:rPr>
          <w:rFonts w:ascii="Arial" w:hAnsi="Arial" w:eastAsia="Arial" w:cs="Arial"/>
        </w:rPr>
        <w:t xml:space="preserve"> zur Homöopathie und anderen natürlichen Heilweisen ist mir bewusst. Der </w:t>
      </w:r>
      <w:r>
        <w:rPr>
          <w:rFonts w:ascii="Arial" w:hAnsi="Arial" w:eastAsia="Arial" w:cs="Arial"/>
        </w:rPr>
      </w:r>
      <w:r>
        <w:rPr>
          <w:rFonts w:ascii="Arial" w:hAnsi="Arial" w:eastAsia="Arial" w:cs="Arial"/>
        </w:rPr>
      </w:r>
      <w:r>
        <w:rPr>
          <w:rFonts w:ascii="Arial" w:hAnsi="Arial" w:eastAsia="Arial" w:cs="Arial"/>
        </w:rPr>
        <w:t>Narrativ</w:t>
      </w:r>
      <w:r>
        <w:rPr>
          <w:rFonts w:ascii="Arial" w:hAnsi="Arial" w:eastAsia="Arial" w:cs="Arial"/>
        </w:rPr>
      </w:r>
      <w:r>
        <w:rPr>
          <w:rFonts w:ascii="Arial" w:hAnsi="Arial" w:eastAsia="Arial" w:cs="Arial"/>
        </w:rPr>
      </w:r>
      <w:r>
        <w:rPr>
          <w:rFonts w:ascii="Arial" w:hAnsi="Arial" w:eastAsia="Arial" w:cs="Arial"/>
        </w:rPr>
        <w:t xml:space="preserve"> „wirkt nachweislich nicht über </w:t>
      </w:r>
      <w:r>
        <w:rPr>
          <w:rFonts w:ascii="Arial" w:hAnsi="Arial" w:eastAsia="Arial" w:cs="Arial"/>
        </w:rPr>
      </w:r>
      <w:r>
        <w:rPr>
          <w:rFonts w:ascii="Arial" w:hAnsi="Arial" w:eastAsia="Arial" w:cs="Arial"/>
        </w:rPr>
        <w:t>Placebo</w:t>
      </w:r>
      <w:r>
        <w:rPr>
          <w:rFonts w:ascii="Arial" w:hAnsi="Arial" w:eastAsia="Arial" w:cs="Arial"/>
        </w:rPr>
      </w:r>
      <w:r>
        <w:rPr>
          <w:rFonts w:ascii="Arial" w:hAnsi="Arial" w:eastAsia="Arial" w:cs="Arial"/>
        </w:rPr>
        <w:t xml:space="preserve"> hinaus“ stimmt nicht mit der Studienlage überein. Eine große Zahl hochwertiger Studien und Übersichtsarbeiten spricht, wenngleich das „warum und wie“ nicht ganz verstanden wird, sowohl für eine Wirkung homöopathischer Potenzen als auch für die praktische Wirksamkeit homöopathischer Behandlungen. Wissenschaft generiert Erkenntnisse, nicht Fakten, und ist im Fluss. So war vor 25 Jahren auch der Klimawandel noch eine wissenschaftliche Außenseiterposition und vor 40 Jahren galt die Sicherheit von Atomkraftwerken als wissenschaftlich erwiesen. Auch die so genannte </w:t>
      </w:r>
      <w:r>
        <w:rPr>
          <w:rFonts w:ascii="Arial" w:hAnsi="Arial" w:eastAsia="Arial" w:cs="Arial"/>
        </w:rPr>
      </w:r>
      <w:r>
        <w:rPr>
          <w:rFonts w:ascii="Arial" w:hAnsi="Arial" w:eastAsia="Arial" w:cs="Arial"/>
        </w:rPr>
        <w:t>Evidenzbasierte</w:t>
      </w:r>
      <w:r>
        <w:rPr>
          <w:rFonts w:ascii="Arial" w:hAnsi="Arial" w:eastAsia="Arial" w:cs="Arial"/>
        </w:rPr>
      </w:r>
      <w:r>
        <w:rPr>
          <w:rFonts w:ascii="Arial" w:hAnsi="Arial" w:eastAsia="Arial" w:cs="Arial"/>
        </w:rPr>
        <w:t xml:space="preserve"> Medizin kann immer nur den jeweiligen Forschungsstand spiegeln. Sie scheint trotz bekannter </w:t>
      </w:r>
      <w:r>
        <w:rPr>
          <w:rFonts w:ascii="Arial" w:hAnsi="Arial" w:eastAsia="Arial" w:cs="Arial"/>
        </w:rPr>
      </w:r>
      <w:r>
        <w:rPr>
          <w:rFonts w:ascii="Arial" w:hAnsi="Arial" w:eastAsia="Arial" w:cs="Arial"/>
        </w:rPr>
        <w:t>Schutz-Mechanismen</w:t>
      </w:r>
      <w:r>
        <w:rPr>
          <w:rFonts w:ascii="Arial" w:hAnsi="Arial" w:eastAsia="Arial" w:cs="Arial"/>
        </w:rPr>
      </w:r>
      <w:r>
        <w:rPr>
          <w:rFonts w:ascii="Arial" w:hAnsi="Arial" w:eastAsia="Arial" w:cs="Arial"/>
        </w:rPr>
        <w:t xml:space="preserve"> nicht immun gegen interessengelenkte Beeinflussung, wie zuletzt in Australien:</w:t>
        <w:br w:type="textWrapping"/>
      </w:r>
      <w:hyperlink r:id="rId12" w:history="1">
        <w:r>
          <w:rPr>
            <w:rStyle w:val="Internetverknpfung"/>
            <w:rFonts w:ascii="Arial" w:hAnsi="Arial" w:eastAsia="Arial" w:cs="Arial"/>
          </w:rPr>
          <w:t>https://www.bph-online.de/australien-studie-spricht-von-belegen-fuer-homoeopathie/</w:t>
        </w:r>
      </w:hyperlink>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pPr>
      <w:r>
        <w:rPr>
          <w:rFonts w:ascii="Arial" w:hAnsi="Arial" w:eastAsia="Arial" w:cs="Arial"/>
          <w:b/>
          <w:bCs/>
        </w:rPr>
      </w:r>
      <w:r>
        <w:rPr>
          <w:rFonts w:ascii="Arial" w:hAnsi="Arial" w:eastAsia="Arial" w:cs="Arial"/>
          <w:b/>
          <w:bCs/>
        </w:rPr>
      </w:r>
      <w:r>
        <w:rPr>
          <w:rFonts w:ascii="Arial" w:hAnsi="Arial" w:eastAsia="Arial" w:cs="Arial"/>
          <w:b/>
          <w:bCs/>
        </w:rPr>
        <w:t>Kosten-Einsparungen</w:t>
      </w:r>
      <w:r>
        <w:rPr>
          <w:rFonts w:ascii="Arial" w:hAnsi="Arial" w:eastAsia="Arial" w:cs="Arial"/>
        </w:rPr>
      </w:r>
      <w:r>
        <w:rPr>
          <w:rFonts w:ascii="Arial" w:hAnsi="Arial" w:eastAsia="Arial" w:cs="Arial"/>
        </w:rPr>
      </w:r>
      <w:r>
        <w:rPr>
          <w:rFonts w:ascii="Arial" w:hAnsi="Arial" w:eastAsia="Arial" w:cs="Arial"/>
        </w:rPr>
        <w:t xml:space="preserve"> </w:t>
      </w:r>
      <w:r>
        <w:rPr>
          <w:rFonts w:ascii="Arial" w:hAnsi="Arial" w:eastAsia="Arial" w:cs="Arial"/>
        </w:rPr>
      </w:r>
      <w:r>
        <w:rPr>
          <w:rFonts w:ascii="Arial" w:hAnsi="Arial" w:eastAsia="Arial" w:cs="Arial"/>
        </w:rPr>
        <w:t>zu Lasten</w:t>
      </w:r>
      <w:r>
        <w:rPr>
          <w:rFonts w:ascii="Arial" w:hAnsi="Arial" w:eastAsia="Arial" w:cs="Arial"/>
        </w:rPr>
      </w:r>
      <w:r>
        <w:rPr>
          <w:rFonts w:ascii="Arial" w:hAnsi="Arial" w:eastAsia="Arial" w:cs="Arial"/>
        </w:rPr>
        <w:t xml:space="preserve"> der Homöopathie scheinen angesichts eines Anteils von 0,03 Promille der Ausgaben im Gesundheitssystem keine wirklich gute Idee zu sein. Wer hinter diesen Zahlen eine </w:t>
      </w:r>
      <w:r>
        <w:rPr>
          <w:rFonts w:ascii="Arial" w:hAnsi="Arial" w:eastAsia="Arial" w:cs="Arial"/>
        </w:rPr>
      </w:r>
      <w:r>
        <w:rPr>
          <w:rFonts w:ascii="Arial" w:hAnsi="Arial" w:eastAsia="Arial" w:cs="Arial"/>
        </w:rPr>
        <w:t>millionenschwere</w:t>
      </w:r>
      <w:r>
        <w:rPr>
          <w:rFonts w:ascii="Arial" w:hAnsi="Arial" w:eastAsia="Arial" w:cs="Arial"/>
        </w:rPr>
      </w:r>
      <w:r>
        <w:rPr>
          <w:rFonts w:ascii="Arial" w:hAnsi="Arial" w:eastAsia="Arial" w:cs="Arial"/>
        </w:rPr>
        <w:t xml:space="preserve"> „</w:t>
      </w:r>
      <w:r>
        <w:rPr>
          <w:rFonts w:ascii="Arial" w:hAnsi="Arial" w:eastAsia="Arial" w:cs="Arial"/>
          <w:b/>
          <w:bCs/>
        </w:rPr>
      </w:r>
      <w:r>
        <w:rPr>
          <w:rFonts w:ascii="Arial" w:hAnsi="Arial" w:eastAsia="Arial" w:cs="Arial"/>
          <w:b/>
          <w:bCs/>
        </w:rPr>
      </w:r>
      <w:r>
        <w:rPr>
          <w:rFonts w:ascii="Arial" w:hAnsi="Arial" w:eastAsia="Arial" w:cs="Arial"/>
          <w:b/>
          <w:bCs/>
        </w:rPr>
        <w:t>Homöopathie-Lobby</w:t>
      </w:r>
      <w:r>
        <w:rPr>
          <w:rFonts w:ascii="Arial" w:hAnsi="Arial" w:eastAsia="Arial" w:cs="Arial"/>
        </w:rPr>
      </w:r>
      <w:r>
        <w:rPr>
          <w:rFonts w:ascii="Arial" w:hAnsi="Arial" w:eastAsia="Arial" w:cs="Arial"/>
        </w:rPr>
      </w:r>
      <w:r>
        <w:rPr>
          <w:rFonts w:ascii="Arial" w:hAnsi="Arial" w:eastAsia="Arial" w:cs="Arial"/>
        </w:rPr>
        <w:t>“ sieht, will vielleicht von Anderem ablenken.</w:t>
        <w:br w:type="textWrapping"/>
      </w:r>
      <w:hyperlink r:id="rId13" w:history="1">
        <w:r>
          <w:rPr>
            <w:rStyle w:val="Internetverknpfung"/>
            <w:rFonts w:ascii="Arial" w:hAnsi="Arial" w:eastAsia="Arial" w:cs="Arial"/>
          </w:rPr>
          <w:t>https://www.naturundmedizin.de/homoeopathie-und-die-gesetzliche-krankenversicherung.html</w:t>
        </w:r>
      </w:hyperlink>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b/>
          <w:bCs/>
        </w:rPr>
        <w:t>Als Patient</w:t>
      </w:r>
      <w:r>
        <w:rPr>
          <w:rFonts w:ascii="Arial" w:hAnsi="Arial" w:eastAsia="Arial" w:cs="Arial"/>
        </w:rPr>
        <w:t xml:space="preserve"> will ich weder auf die naturwissenschaftliche Medizin noch auf die Homöopathie und andere naturgemäße Heilmethoden verzichten. Zu allen Gesundheitsfragen möchte ich auf angemessene Weise beraten werden und für mich und meine Kinder selbst entscheiden können. </w:t>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t xml:space="preserve">Ich bin verwundert, dass (grüne?) Politiker sich für einen </w:t>
      </w:r>
      <w:r>
        <w:rPr>
          <w:rFonts w:ascii="Arial" w:hAnsi="Arial" w:eastAsia="Arial" w:cs="Arial"/>
          <w:b/>
          <w:bCs/>
        </w:rPr>
        <w:t>Impfzwang</w:t>
      </w:r>
      <w:r>
        <w:rPr>
          <w:rFonts w:ascii="Arial" w:hAnsi="Arial" w:eastAsia="Arial" w:cs="Arial"/>
        </w:rPr>
        <w:t xml:space="preserve"> aussprechen, während sogar eindeutige </w:t>
      </w:r>
      <w:r>
        <w:rPr>
          <w:rFonts w:ascii="Arial" w:hAnsi="Arial" w:eastAsia="Arial" w:cs="Arial"/>
        </w:rPr>
      </w:r>
      <w:r>
        <w:rPr>
          <w:rFonts w:ascii="Arial" w:hAnsi="Arial" w:eastAsia="Arial" w:cs="Arial"/>
        </w:rPr>
        <w:t>Impf-Befürworter</w:t>
      </w:r>
      <w:r>
        <w:rPr>
          <w:rFonts w:ascii="Arial" w:hAnsi="Arial" w:eastAsia="Arial" w:cs="Arial"/>
        </w:rPr>
      </w:r>
      <w:r>
        <w:rPr>
          <w:rFonts w:ascii="Arial" w:hAnsi="Arial" w:eastAsia="Arial" w:cs="Arial"/>
        </w:rPr>
        <w:t xml:space="preserve"> diesen nicht für </w:t>
      </w:r>
      <w:r>
        <w:rPr>
          <w:rFonts w:ascii="Arial" w:hAnsi="Arial" w:eastAsia="Arial" w:cs="Arial"/>
        </w:rPr>
      </w:r>
      <w:r>
        <w:rPr>
          <w:rFonts w:ascii="Arial" w:hAnsi="Arial" w:eastAsia="Arial" w:cs="Arial"/>
        </w:rPr>
        <w:t>zielführend</w:t>
      </w:r>
      <w:r>
        <w:rPr>
          <w:rFonts w:ascii="Arial" w:hAnsi="Arial" w:eastAsia="Arial" w:cs="Arial"/>
        </w:rPr>
      </w:r>
      <w:r>
        <w:rPr>
          <w:rFonts w:ascii="Arial" w:hAnsi="Arial" w:eastAsia="Arial" w:cs="Arial"/>
        </w:rPr>
        <w:t xml:space="preserve"> halten. Daher unterstütze ich auch die Anträge </w:t>
      </w:r>
      <w:r>
        <w:rPr>
          <w:rFonts w:ascii="Arial" w:hAnsi="Arial" w:eastAsia="Arial" w:cs="Arial"/>
          <w:b/>
          <w:bCs/>
        </w:rPr>
      </w:r>
      <w:r>
        <w:rPr>
          <w:rFonts w:ascii="Arial" w:hAnsi="Arial" w:eastAsia="Arial" w:cs="Arial"/>
          <w:b/>
          <w:bCs/>
        </w:rPr>
      </w:r>
      <w:r>
        <w:rPr>
          <w:rFonts w:ascii="Arial" w:hAnsi="Arial" w:eastAsia="Arial" w:cs="Arial"/>
          <w:b/>
          <w:bCs/>
        </w:rPr>
        <w:t>V-15</w:t>
      </w:r>
      <w:r>
        <w:rPr>
          <w:rFonts w:ascii="Arial" w:hAnsi="Arial" w:eastAsia="Arial" w:cs="Arial"/>
        </w:rPr>
      </w:r>
      <w:r>
        <w:rPr>
          <w:rFonts w:ascii="Arial" w:hAnsi="Arial" w:eastAsia="Arial" w:cs="Arial"/>
        </w:rPr>
      </w:r>
      <w:r>
        <w:rPr>
          <w:rFonts w:ascii="Arial" w:hAnsi="Arial" w:eastAsia="Arial" w:cs="Arial"/>
        </w:rPr>
        <w:t xml:space="preserve"> und </w:t>
      </w:r>
      <w:r>
        <w:rPr>
          <w:rFonts w:ascii="Arial" w:hAnsi="Arial" w:eastAsia="Arial" w:cs="Arial"/>
          <w:b/>
          <w:bCs/>
        </w:rPr>
      </w:r>
      <w:r>
        <w:rPr>
          <w:rFonts w:ascii="Arial" w:hAnsi="Arial" w:eastAsia="Arial" w:cs="Arial"/>
          <w:b/>
          <w:bCs/>
        </w:rPr>
      </w:r>
      <w:r>
        <w:rPr>
          <w:rFonts w:ascii="Arial" w:hAnsi="Arial" w:eastAsia="Arial" w:cs="Arial"/>
          <w:b/>
          <w:bCs/>
        </w:rPr>
        <w:t>V-43</w:t>
      </w:r>
      <w:r>
        <w:rPr>
          <w:rFonts w:ascii="Arial" w:hAnsi="Arial" w:eastAsia="Arial" w:cs="Arial"/>
        </w:rPr>
      </w:r>
      <w:r>
        <w:rPr>
          <w:rFonts w:ascii="Arial" w:hAnsi="Arial" w:eastAsia="Arial" w:cs="Arial"/>
        </w:rPr>
      </w:r>
      <w:r>
        <w:rPr>
          <w:rFonts w:ascii="Arial" w:hAnsi="Arial" w:eastAsia="Arial" w:cs="Arial"/>
        </w:rPr>
        <w:t>.</w:t>
      </w:r>
    </w:p>
    <w:p>
      <w:pPr>
        <w:pStyle w:val="Text"/>
        <w:ind w:right="850"/>
        <w:spacing w:after="0"/>
        <w:tabs>
          <w:tab w:val="clear" w:pos="567" w:leader="none"/>
          <w:tab w:val="clear" w:pos="1134" w:leader="none"/>
          <w:tab w:val="clear" w:pos="1701" w:leader="none"/>
          <w:tab w:val="clear" w:pos="2268" w:leader="none"/>
          <w:tab w:val="clear" w:pos="2835" w:leader="none"/>
        </w:tabs>
      </w:pPr>
      <w:hyperlink r:id="rId14" w:history="1">
        <w:r>
          <w:rPr>
            <w:rStyle w:val="Internetverknpfung"/>
            <w:rFonts w:ascii="Arial" w:hAnsi="Arial" w:eastAsia="Arial" w:cs="Arial"/>
          </w:rPr>
          <w:t>https://www.deutsche-apotheker-zeitung.de/news/artikel/2017/09/25/rki-praesident-spricht-sich-gegen-impfpflicht-aus</w:t>
        </w:r>
      </w:hyperlink>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t xml:space="preserve">Nach dem Antrag der „Grünen Jugend“ werde ich sehr genau beobachten: Wird die </w:t>
      </w:r>
      <w:r>
        <w:rPr>
          <w:rFonts w:ascii="Arial" w:hAnsi="Arial" w:eastAsia="Arial" w:cs="Arial"/>
        </w:rPr>
      </w:r>
      <w:r>
        <w:rPr>
          <w:rFonts w:ascii="Arial" w:hAnsi="Arial" w:eastAsia="Arial" w:cs="Arial"/>
        </w:rPr>
        <w:t>Grüne</w:t>
      </w:r>
      <w:r>
        <w:rPr>
          <w:rFonts w:ascii="Arial" w:hAnsi="Arial" w:eastAsia="Arial" w:cs="Arial"/>
        </w:rPr>
      </w:r>
      <w:r>
        <w:rPr>
          <w:rFonts w:ascii="Arial" w:hAnsi="Arial" w:eastAsia="Arial" w:cs="Arial"/>
        </w:rPr>
        <w:t xml:space="preserve"> Partei dem (pseudo-)wissenschaftlichen Fundamentalismus bestimmter Gruppierungen entgegenkommen? Pflegt die Partei ein </w:t>
      </w:r>
      <w:r>
        <w:rPr>
          <w:rFonts w:ascii="Arial" w:hAnsi="Arial" w:eastAsia="Arial" w:cs="Arial"/>
          <w:b/>
          <w:bCs/>
        </w:rPr>
        <w:t>wissenschaftlich offenes Weltbild</w:t>
      </w:r>
      <w:r>
        <w:rPr>
          <w:rFonts w:ascii="Arial" w:hAnsi="Arial" w:eastAsia="Arial" w:cs="Arial"/>
        </w:rPr>
        <w:t xml:space="preserve"> und steht sie zu einem pluralistischen Gesundheitswesen? Stehen die Grünen zu </w:t>
      </w:r>
      <w:r>
        <w:rPr>
          <w:rFonts w:ascii="Arial" w:hAnsi="Arial" w:eastAsia="Arial" w:cs="Arial"/>
          <w:b/>
          <w:bCs/>
        </w:rPr>
        <w:t>gesundheitlicher Selbstbestimmung</w:t>
      </w:r>
      <w:r>
        <w:rPr>
          <w:rFonts w:ascii="Arial" w:hAnsi="Arial" w:eastAsia="Arial" w:cs="Arial"/>
        </w:rPr>
        <w:t xml:space="preserve"> als einem unveräußerlichen Grundrecht, das nur bei einer sehr konkreten Gefährdung Dritter, und nicht aus allgemeinen gesundheitspolitischen Erwägungen heraus eingeschränkt werden darf? Oder lässt man sich in einem </w:t>
      </w:r>
      <w:r>
        <w:rPr>
          <w:rFonts w:ascii="Arial" w:hAnsi="Arial" w:eastAsia="Arial" w:cs="Arial"/>
          <w:b/>
          <w:bCs/>
        </w:rPr>
        <w:t>verschobenen Glaubenskrieg</w:t>
      </w:r>
      <w:r>
        <w:rPr>
          <w:rFonts w:ascii="Arial" w:hAnsi="Arial" w:eastAsia="Arial" w:cs="Arial"/>
        </w:rPr>
        <w:t xml:space="preserve"> vor den Karren Anderer spannen?</w:t>
        <w:br w:type="textWrapping"/>
      </w:r>
      <w:hyperlink r:id="rId15" w:history="1">
        <w:r>
          <w:rPr>
            <w:rStyle w:val="Internetverknpfung"/>
            <w:rFonts w:ascii="Arial" w:hAnsi="Arial" w:eastAsia="Arial" w:cs="Arial"/>
          </w:rPr>
          <w:t>http://www.provings.info/blog1?post_id=55&amp;title=leserbrief-zum-artikel-%E2%80%9Eglaubenskrieg-um-globuli%E2%80%9C-aus-der-taz-vom-141019</w:t>
        </w:r>
      </w:hyperlink>
      <w:r>
        <w:rPr>
          <w:rFonts w:ascii="Arial" w:hAnsi="Arial" w:eastAsia="Arial" w:cs="Arial"/>
        </w:rPr>
        <w:t>-</w:t>
        <w:br w:type="textWrapping"/>
        <w:br w:type="textWrapping"/>
      </w:r>
      <w:r>
        <w:rPr>
          <w:rFonts w:ascii="Arial" w:hAnsi="Arial" w:eastAsia="Arial" w:cs="Arial"/>
          <w:b/>
          <w:bCs/>
        </w:rPr>
        <w:t>Meine persönlichen Wünsche als Patientin sind</w:t>
      </w:r>
      <w:r>
        <w:rPr>
          <w:rFonts w:ascii="Arial" w:hAnsi="Arial" w:eastAsia="Arial" w:cs="Arial"/>
        </w:rPr>
        <w:t>:</w:t>
      </w: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r>
        <w:rPr>
          <w:rFonts w:ascii="Arial" w:hAnsi="Arial" w:eastAsia="Arial" w:cs="Arial"/>
        </w:rPr>
      </w:r>
      <w:r>
        <w:rPr>
          <w:rFonts w:ascii="Arial" w:hAnsi="Arial" w:eastAsia="Arial" w:cs="Arial"/>
        </w:rPr>
        <w:t>●</w:t>
      </w:r>
      <w:r>
        <w:rPr>
          <w:rFonts w:ascii="Arial" w:hAnsi="Arial" w:eastAsia="Arial" w:cs="Arial"/>
        </w:rPr>
      </w:r>
      <w:r>
        <w:rPr>
          <w:rFonts w:ascii="Arial" w:hAnsi="Arial" w:eastAsia="Arial" w:cs="Arial"/>
        </w:rPr>
        <w:t xml:space="preserve">  freie</w:t>
      </w:r>
      <w:r>
        <w:rPr>
          <w:rFonts w:ascii="Arial" w:hAnsi="Arial" w:eastAsia="Arial" w:cs="Arial"/>
        </w:rPr>
      </w:r>
      <w:r>
        <w:rPr>
          <w:rFonts w:ascii="Arial" w:hAnsi="Arial" w:eastAsia="Arial" w:cs="Arial"/>
        </w:rPr>
        <w:t xml:space="preserve"> Therapiewahl </w:t>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r>
        <w:rPr>
          <w:rFonts w:ascii="Arial" w:hAnsi="Arial" w:eastAsia="Arial" w:cs="Arial"/>
        </w:rPr>
      </w:r>
      <w:r>
        <w:rPr>
          <w:rFonts w:ascii="Arial" w:hAnsi="Arial" w:eastAsia="Arial" w:cs="Arial"/>
        </w:rPr>
        <w:t>●</w:t>
      </w:r>
      <w:r>
        <w:rPr>
          <w:rFonts w:ascii="Arial" w:hAnsi="Arial" w:eastAsia="Arial" w:cs="Arial"/>
        </w:rPr>
      </w:r>
      <w:r>
        <w:rPr>
          <w:rFonts w:ascii="Arial" w:hAnsi="Arial" w:eastAsia="Arial" w:cs="Arial"/>
        </w:rPr>
        <w:t xml:space="preserve">  selbstbestimmte</w:t>
      </w:r>
      <w:r>
        <w:rPr>
          <w:rFonts w:ascii="Arial" w:hAnsi="Arial" w:eastAsia="Arial" w:cs="Arial"/>
        </w:rPr>
      </w:r>
      <w:r>
        <w:rPr>
          <w:rFonts w:ascii="Arial" w:hAnsi="Arial" w:eastAsia="Arial" w:cs="Arial"/>
        </w:rPr>
        <w:t xml:space="preserve"> Entscheidungen zu allen Gesundheitsfragen inklusive Impfungen</w:t>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r>
        <w:rPr>
          <w:rFonts w:ascii="Arial" w:hAnsi="Arial" w:eastAsia="Arial" w:cs="Arial"/>
        </w:rPr>
      </w:r>
      <w:r>
        <w:rPr>
          <w:rFonts w:ascii="Arial" w:hAnsi="Arial" w:eastAsia="Arial" w:cs="Arial"/>
        </w:rPr>
        <w:t>●</w:t>
      </w:r>
      <w:r>
        <w:rPr>
          <w:rFonts w:ascii="Arial" w:hAnsi="Arial" w:eastAsia="Arial" w:cs="Arial"/>
        </w:rPr>
      </w:r>
      <w:r>
        <w:rPr>
          <w:rFonts w:ascii="Arial" w:hAnsi="Arial" w:eastAsia="Arial" w:cs="Arial"/>
        </w:rPr>
        <w:t xml:space="preserve">  durch</w:t>
      </w:r>
      <w:r>
        <w:rPr>
          <w:rFonts w:ascii="Arial" w:hAnsi="Arial" w:eastAsia="Arial" w:cs="Arial"/>
        </w:rPr>
      </w:r>
      <w:r>
        <w:rPr>
          <w:rFonts w:ascii="Arial" w:hAnsi="Arial" w:eastAsia="Arial" w:cs="Arial"/>
        </w:rPr>
        <w:t xml:space="preserve"> Selbstbestimmung mehr Motivation zu einer gesunden Lebensweise</w:t>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r>
        <w:rPr>
          <w:rFonts w:ascii="Arial" w:hAnsi="Arial" w:eastAsia="Arial" w:cs="Arial"/>
        </w:rPr>
      </w:r>
      <w:r>
        <w:rPr>
          <w:rFonts w:ascii="Arial" w:hAnsi="Arial" w:eastAsia="Arial" w:cs="Arial"/>
        </w:rPr>
        <w:t>●</w:t>
      </w:r>
      <w:r>
        <w:rPr>
          <w:rFonts w:ascii="Arial" w:hAnsi="Arial" w:eastAsia="Arial" w:cs="Arial"/>
        </w:rPr>
      </w:r>
      <w:r>
        <w:rPr>
          <w:rFonts w:ascii="Arial" w:hAnsi="Arial" w:eastAsia="Arial" w:cs="Arial"/>
        </w:rPr>
        <w:t xml:space="preserve">  ein</w:t>
      </w:r>
      <w:r>
        <w:rPr>
          <w:rFonts w:ascii="Arial" w:hAnsi="Arial" w:eastAsia="Arial" w:cs="Arial"/>
        </w:rPr>
      </w:r>
      <w:r>
        <w:rPr>
          <w:rFonts w:ascii="Arial" w:hAnsi="Arial" w:eastAsia="Arial" w:cs="Arial"/>
        </w:rPr>
        <w:t xml:space="preserve"> gutes Miteinander von </w:t>
      </w:r>
      <w:r>
        <w:rPr>
          <w:rFonts w:ascii="Arial" w:hAnsi="Arial" w:eastAsia="Arial" w:cs="Arial"/>
        </w:rPr>
      </w:r>
      <w:r>
        <w:rPr>
          <w:rFonts w:ascii="Arial" w:hAnsi="Arial" w:eastAsia="Arial" w:cs="Arial"/>
        </w:rPr>
        <w:t>Komplementär-</w:t>
      </w:r>
      <w:r>
        <w:rPr>
          <w:rFonts w:ascii="Arial" w:hAnsi="Arial" w:eastAsia="Arial" w:cs="Arial"/>
        </w:rPr>
      </w:r>
      <w:r>
        <w:rPr>
          <w:rFonts w:ascii="Arial" w:hAnsi="Arial" w:eastAsia="Arial" w:cs="Arial"/>
        </w:rPr>
        <w:t xml:space="preserve"> und naturwissenschaftlicher Medizin</w:t>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r>
        <w:rPr>
          <w:rFonts w:ascii="Arial" w:hAnsi="Arial" w:eastAsia="Arial" w:cs="Arial"/>
        </w:rPr>
      </w:r>
      <w:r>
        <w:rPr>
          <w:rFonts w:ascii="Arial" w:hAnsi="Arial" w:eastAsia="Arial" w:cs="Arial"/>
        </w:rPr>
        <w:t>●</w:t>
      </w:r>
      <w:r>
        <w:rPr>
          <w:rFonts w:ascii="Arial" w:hAnsi="Arial" w:eastAsia="Arial" w:cs="Arial"/>
        </w:rPr>
      </w:r>
      <w:r>
        <w:rPr>
          <w:rFonts w:ascii="Arial" w:hAnsi="Arial" w:eastAsia="Arial" w:cs="Arial"/>
        </w:rPr>
        <w:t xml:space="preserve">  ein</w:t>
      </w:r>
      <w:r>
        <w:rPr>
          <w:rFonts w:ascii="Arial" w:hAnsi="Arial" w:eastAsia="Arial" w:cs="Arial"/>
        </w:rPr>
      </w:r>
      <w:r>
        <w:rPr>
          <w:rFonts w:ascii="Arial" w:hAnsi="Arial" w:eastAsia="Arial" w:cs="Arial"/>
        </w:rPr>
        <w:t xml:space="preserve"> gutes Miteinander aller Gesundheitsberufe</w:t>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r>
        <w:rPr>
          <w:rFonts w:ascii="Arial" w:hAnsi="Arial" w:eastAsia="Arial" w:cs="Arial"/>
        </w:rPr>
      </w:r>
      <w:r>
        <w:rPr>
          <w:rFonts w:ascii="Arial" w:hAnsi="Arial" w:eastAsia="Arial" w:cs="Arial"/>
        </w:rPr>
        <w:t>●</w:t>
      </w:r>
      <w:r>
        <w:rPr>
          <w:rFonts w:ascii="Arial" w:hAnsi="Arial" w:eastAsia="Arial" w:cs="Arial"/>
        </w:rPr>
      </w:r>
      <w:r>
        <w:rPr>
          <w:rFonts w:ascii="Arial" w:hAnsi="Arial" w:eastAsia="Arial" w:cs="Arial"/>
        </w:rPr>
        <w:t xml:space="preserve">  Beratung</w:t>
      </w:r>
      <w:r>
        <w:rPr>
          <w:rFonts w:ascii="Arial" w:hAnsi="Arial" w:eastAsia="Arial" w:cs="Arial"/>
        </w:rPr>
      </w:r>
      <w:r>
        <w:rPr>
          <w:rFonts w:ascii="Arial" w:hAnsi="Arial" w:eastAsia="Arial" w:cs="Arial"/>
        </w:rPr>
        <w:t xml:space="preserve"> auf Augenhöhe und Patientenschutz ohne Bevormundung</w:t>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r>
        <w:rPr>
          <w:rFonts w:ascii="Arial" w:hAnsi="Arial" w:eastAsia="Arial" w:cs="Arial"/>
        </w:rPr>
      </w:r>
      <w:r>
        <w:rPr>
          <w:rFonts w:ascii="Arial" w:hAnsi="Arial" w:eastAsia="Arial" w:cs="Arial"/>
        </w:rPr>
        <w:t>●</w:t>
      </w:r>
      <w:r>
        <w:rPr>
          <w:rFonts w:ascii="Arial" w:hAnsi="Arial" w:eastAsia="Arial" w:cs="Arial"/>
        </w:rPr>
      </w:r>
      <w:r>
        <w:rPr>
          <w:rFonts w:ascii="Arial" w:hAnsi="Arial" w:eastAsia="Arial" w:cs="Arial"/>
        </w:rPr>
        <w:t xml:space="preserve">  eine</w:t>
      </w:r>
      <w:r>
        <w:rPr>
          <w:rFonts w:ascii="Arial" w:hAnsi="Arial" w:eastAsia="Arial" w:cs="Arial"/>
        </w:rPr>
      </w:r>
      <w:r>
        <w:rPr>
          <w:rFonts w:ascii="Arial" w:hAnsi="Arial" w:eastAsia="Arial" w:cs="Arial"/>
        </w:rPr>
        <w:t xml:space="preserve"> wissenschaftliche und zugleich erkenntnisoffene Fundierung grüner Politik</w:t>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t xml:space="preserve">Mein künftiges Wahlverhalten wird davon abhängen, ob unsinnige Debatten, wie von Teilen der „Grünen Jugend“ eingebracht, in der Partei eine Fortsetzung finden oder ob die </w:t>
      </w:r>
      <w:r>
        <w:rPr>
          <w:rFonts w:ascii="Arial" w:hAnsi="Arial" w:eastAsia="Arial" w:cs="Arial"/>
        </w:rPr>
      </w:r>
      <w:r>
        <w:rPr>
          <w:rFonts w:ascii="Arial" w:hAnsi="Arial" w:eastAsia="Arial" w:cs="Arial"/>
        </w:rPr>
        <w:t>Grüne</w:t>
      </w:r>
      <w:r>
        <w:rPr>
          <w:rFonts w:ascii="Arial" w:hAnsi="Arial" w:eastAsia="Arial" w:cs="Arial"/>
        </w:rPr>
      </w:r>
      <w:r>
        <w:rPr>
          <w:rFonts w:ascii="Arial" w:hAnsi="Arial" w:eastAsia="Arial" w:cs="Arial"/>
        </w:rPr>
        <w:t xml:space="preserve"> Partei sich zu einem klaren Bekenntnis zu den genannten Anliegen durchringen kann.</w:t>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t>Mit freundlichen Grüßen</w:t>
      </w:r>
    </w:p>
    <w:p>
      <w:pPr>
        <w:pStyle w:val="Text"/>
        <w:ind w:right="850"/>
        <w:spacing w:after="0"/>
        <w:tabs>
          <w:tab w:val="clear" w:pos="567" w:leader="none"/>
          <w:tab w:val="clear" w:pos="1134" w:leader="none"/>
          <w:tab w:val="clear" w:pos="1701" w:leader="none"/>
          <w:tab w:val="clear" w:pos="2268" w:leader="none"/>
          <w:tab w:val="clear" w:pos="2835" w:leader="none"/>
        </w:tabs>
        <w:rPr>
          <w:rFonts w:ascii="Arial" w:hAnsi="Arial" w:eastAsia="Arial" w:cs="Arial"/>
        </w:rPr>
      </w:pPr>
      <w:r>
        <w:rPr>
          <w:rFonts w:ascii="Arial" w:hAnsi="Arial" w:eastAsia="Arial" w:cs="Arial"/>
        </w:rPr>
      </w:r>
    </w:p>
    <w:p>
      <w:pPr>
        <w:pStyle w:val="Text"/>
        <w:ind w:right="850"/>
        <w:spacing w:after="0"/>
        <w:tabs>
          <w:tab w:val="clear" w:pos="567" w:leader="none"/>
          <w:tab w:val="clear" w:pos="1134" w:leader="none"/>
          <w:tab w:val="clear" w:pos="1701" w:leader="none"/>
          <w:tab w:val="clear" w:pos="2268" w:leader="none"/>
          <w:tab w:val="clear" w:pos="2835" w:leader="none"/>
        </w:tabs>
      </w:pPr>
      <w:r>
        <w:rPr>
          <w:rFonts w:ascii="Arial" w:hAnsi="Arial" w:eastAsia="Arial" w:cs="Arial"/>
        </w:rPr>
      </w:r>
      <w:r>
        <w:rPr>
          <w:rFonts w:ascii="Arial" w:hAnsi="Arial" w:eastAsia="Arial" w:cs="Arial"/>
        </w:rPr>
      </w:r>
      <w:r>
        <w:rPr>
          <w:rFonts w:ascii="Arial" w:hAnsi="Arial" w:eastAsia="Arial" w:cs="Arial"/>
        </w:rPr>
        <w:t>hier</w:t>
      </w:r>
      <w:r>
        <w:rPr>
          <w:rFonts w:ascii="Arial" w:hAnsi="Arial" w:eastAsia="Arial" w:cs="Arial"/>
        </w:rPr>
      </w:r>
      <w:r>
        <w:rPr>
          <w:rFonts w:ascii="Arial" w:hAnsi="Arial" w:eastAsia="Arial" w:cs="Arial"/>
        </w:rPr>
        <w:t xml:space="preserve">: </w:t>
      </w:r>
      <w:r>
        <w:rPr>
          <w:rFonts w:ascii="Arial" w:hAnsi="Arial" w:eastAsia="Arial" w:cs="Arial"/>
          <w:color w:val="ff0000"/>
        </w:rPr>
        <w:t>VOLLSTÄNDIGER NAME UND ADRESSE</w:t>
      </w:r>
      <w:r/>
    </w:p>
    <w:sectPr>
      <w:footnotePr>
        <w:pos w:val="pageBottom"/>
        <w:numFmt w:val="decimal"/>
        <w:numStart w:val="1"/>
        <w:numRestart w:val="continuous"/>
      </w:footnotePr>
      <w:endnotePr>
        <w:pos w:val="docEnd"/>
        <w:numFmt w:val="decimal"/>
        <w:numStart w:val="1"/>
        <w:numRestart w:val="continuous"/>
      </w:endnotePr>
      <w:footerReference w:type="default" r:id="rId16"/>
      <w:type w:val="nextPage"/>
      <w:pgSz w:h="16838" w:w="11906"/>
      <w:pgMar w:left="1134" w:top="623" w:right="1134" w:bottom="679" w:footer="454"/>
      <w:paperSrc w:first="0" w:other="0"/>
      <w:tmGutter w:val="3"/>
      <w:mirrorMargins w:val="0"/>
      <w:tmSection w:h="-2">
        <w:tmFooter w:id="0" w:h="0" w:left="1134" w:right="1134" w:top="0" w:bottom="0" edge="454" text="0">
          <w:shd w:val="none"/>
        </w:tmFooter>
      </w:tmSection>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default"/>
  </w:font>
  <w:font w:name="SimSun">
    <w:panose1 w:val="02010600030101010101"/>
    <w:charset w:val="00"/>
    <w:family w:val="auto"/>
    <w:pitch w:val="default"/>
  </w:font>
  <w:font w:name="Arial">
    <w:panose1 w:val="020B0604020202020204"/>
    <w:charset w:val="00"/>
    <w:family w:val="swiss"/>
    <w:pitch w:val="default"/>
  </w:font>
  <w:font w:name="Symbol">
    <w:panose1 w:val="05050102010706020507"/>
    <w:charset w:val="02"/>
    <w:family w:val="roman"/>
    <w:pitch w:val="default"/>
  </w:font>
  <w:font w:name="Liberation Serif">
    <w:panose1 w:val="02020603050405020304"/>
    <w:charset w:val="00"/>
    <w:family w:val="roman"/>
    <w:pitch w:val="default"/>
  </w:font>
  <w:font w:name="Calibri">
    <w:panose1 w:val="020F0502020204030204"/>
    <w:charset w:val="00"/>
    <w:family w:val="roman"/>
    <w:pitch w:val="default"/>
  </w:font>
  <w:font w:name="Liberation Sans">
    <w:panose1 w:val="020B0604020202020204"/>
    <w:charset w:val="00"/>
    <w:family w:val="swiss"/>
    <w:pitch w:val="default"/>
  </w:font>
  <w:font w:name="Microsoft YaHei">
    <w:panose1 w:val="020B0503020204020204"/>
    <w:charset w:val="00"/>
    <w:family w:val="auto"/>
    <w:pitch w:val="default"/>
  </w:font>
  <w:font w:name="Mangal">
    <w:panose1 w:val="02040503050203030202"/>
    <w:charset w:val="00"/>
    <w:family w:val="auto"/>
    <w:pitch w:val="default"/>
  </w:font>
  <w:font w:name="Segoe UI">
    <w:panose1 w:val="020B0502040204020203"/>
    <w:charset w:val="00"/>
    <w:family w:val="swiss"/>
    <w:pitch w:val="default"/>
  </w:font>
  <w:font w:name="Tahoma">
    <w:panose1 w:val="020B0604030504040204"/>
    <w:charset w:val="00"/>
    <w:family w:val="swiss"/>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Fuzeile"/>
      <w:spacing/>
      <w:jc w:val="right"/>
    </w:pPr>
    <w:r>
      <w:fldChar w:fldCharType="begin"/>
      <w:instrText xml:space="preserve"> PAGE \* Arabic </w:instrText>
      <w:fldChar w:fldCharType="separate"/>
      <w:t>2</w:t>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view w:val="print"/>
  <w:defaultTabStop w:val="708"/>
  <w:autoHyphenation w:val="1"/>
  <w:doNotShadeFormData w:val="0"/>
  <w:captions>
    <w:caption w:name="Tabelle" w:pos="below" w:numFmt="decimal"/>
    <w:caption w:name="Abbildung" w:pos="below" w:numFmt="decimal"/>
    <w:caption w:name="Grafik" w:pos="below" w:numFmt="decimal"/>
  </w:captions>
  <w:drawingGridHorizontalSpacing w:val="283"/>
  <w:drawingGridVerticalSpacing w:val="283"/>
  <w:revisionView w:comments="1" w:markup="0" w:insDel="0" w:formatting="0"/>
  <w:footnotePr>
    <w:pos w:val="pageBottom"/>
    <w:numFmt w:val="decimal"/>
    <w:numStart w:val="1"/>
    <w:numRestart w:val="continuous"/>
  </w:footnotePr>
  <w:endnotePr>
    <w:pos w:val="docEnd"/>
    <w:numFmt w:val="decimal"/>
    <w:numStart w:val="1"/>
    <w:numRestart w:val="continuous"/>
  </w:endnotePr>
  <w:compat>
    <w:doNotUseHTMLParagraphAutoSpacing w:val="1"/>
  </w:compat>
  <w:shapeDefaults>
    <o:shapedefaults v:ext="edit" spidmax="2049"/>
    <o:shapelayout v:ext="edit">
      <o:rules v:ext="edit"/>
    </o:shapelayout>
  </w:shapeDefaults>
  <w:tmPrefOne w:val="17"/>
  <w:tmPrefTwo w:val="1"/>
  <w:tmFmtPref w:val="591934571"/>
  <w:tmCommentsPr>
    <w:tmCommentsPlace w:val="0"/>
    <w:tmCommentsWidth w:val="3119"/>
    <w:tmCommentsColor w:val="-1"/>
  </w:tmCommentsPr>
  <w:tmReviewPr>
    <w:tmReviewEnabled w:val="0"/>
    <w:tmReviewShow w:val="0"/>
    <w:tmReviewPrint w:val="0"/>
    <w:tmRevisionNum w:val="12"/>
    <w:tmReviewMarkIns w:val="4"/>
    <w:tmReviewColorIns w:val="-1"/>
    <w:tmReviewMarkDel w:val="6"/>
    <w:tmReviewColorDel w:val="-1"/>
    <w:tmReviewMarkFmt w:val="1"/>
    <w:tmReviewColorFmt w:val="-1"/>
    <w:tmReviewMarkLn w:val="1"/>
    <w:tmReviewColorLn w:val="0"/>
    <w:tmReviewToolTip w:val="0"/>
  </w:tmReviewPr>
  <w:tmLastPos>
    <w:tmLastPosPage w:val="1"/>
    <w:tmLastPosSelect w:val="0"/>
    <w:tmLastPosFrameIdx w:val="0"/>
    <w:tmLastPosCaret>
      <w:tmLastPosPgfIdx w:val="34"/>
      <w:tmLastPosIdx w:val="308"/>
    </w:tmLastPosCaret>
    <w:tmLastPosAnchor>
      <w:tmLastPosPgfIdx w:val="0"/>
      <w:tmLastPosIdx w:val="0"/>
    </w:tmLastPosAnchor>
    <w:tmLastPosTblRect w:left="0" w:top="0" w:right="0" w:bottom="0"/>
  </w:tmLastPos>
  <w:tmAppRevision w:date="1571866909" w:val="768"/>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hAnsi="Calibri" w:eastAsia="Calibri" w:cs="Calibri"/>
        <w:color w:val="000000"/>
        <w:kern w:val="1"/>
        <w:sz w:val="22"/>
        <w:szCs w:val="22"/>
        <w:lang w:val="de-de" w:eastAsia="zh-cn" w:bidi="ar-sa"/>
      </w:rPr>
    </w:rPrDefault>
    <w:pPrDefault>
      <w:pPr>
        <w:spacing w:line="264" w:lineRule="auto"/>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atentStyles>
  <w:style w:type="paragraph" w:styleId="Normal" w:default="1">
    <w:name w:val="Normal"/>
    <w:qFormat/>
  </w:style>
  <w:style w:type="paragraph" w:styleId="berschrift" w:customStyle="1">
    <w:name w:val="Überschrift"/>
    <w:qFormat/>
    <w:basedOn w:val="Normal"/>
    <w:next w:val="Textkrper"/>
    <w:pPr>
      <w:spacing w:before="240" w:after="120"/>
      <w:keepNext/>
    </w:pPr>
    <w:rPr>
      <w:rFonts w:ascii="Liberation Sans" w:hAnsi="Liberation Sans" w:eastAsia="Microsoft YaHei" w:cs="Mangal"/>
      <w:sz w:val="28"/>
      <w:szCs w:val="28"/>
    </w:rPr>
  </w:style>
  <w:style w:type="paragraph" w:styleId="Textkrper">
    <w:name w:val="Body Text"/>
    <w:qFormat/>
    <w:basedOn w:val="Normal"/>
    <w:pPr>
      <w:spacing w:after="140" w:line="276" w:lineRule="auto"/>
    </w:pPr>
  </w:style>
  <w:style w:type="paragraph" w:styleId="Liste">
    <w:name w:val="List"/>
    <w:qFormat/>
    <w:basedOn w:val="Textkrper"/>
    <w:rPr>
      <w:rFonts w:cs="Mangal"/>
    </w:rPr>
  </w:style>
  <w:style w:type="paragraph" w:styleId="Beschriftung">
    <w:name w:val="caption"/>
    <w:qFormat/>
    <w:basedOn w:val="Normal"/>
    <w:pPr>
      <w:spacing w:before="120" w:after="120"/>
      <w:suppressLineNumbers/>
    </w:pPr>
    <w:rPr>
      <w:rFonts w:cs="Mangal"/>
      <w:i/>
      <w:iCs/>
      <w:sz w:val="24"/>
      <w:szCs w:val="24"/>
    </w:rPr>
  </w:style>
  <w:style w:type="paragraph" w:styleId="Verzeichnis" w:customStyle="1">
    <w:name w:val="Verzeichnis"/>
    <w:qFormat/>
    <w:basedOn w:val="Normal"/>
    <w:pPr>
      <w:suppressLineNumbers/>
    </w:pPr>
    <w:rPr>
      <w:rFonts w:cs="Mangal"/>
    </w:rPr>
  </w:style>
  <w:style w:type="paragraph" w:styleId="Text" w:customStyle="1">
    <w:name w:val="Text"/>
    <w:qFormat/>
    <w:basedOn w:val="Normal"/>
    <w:pPr>
      <w:spacing w:after="160"/>
      <w:suppressAutoHyphens/>
      <w:hyphenationLines w:val="0"/>
      <w:tabs>
        <w:tab w:val="left" w:pos="567" w:leader="none"/>
        <w:tab w:val="left" w:pos="1134" w:leader="none"/>
        <w:tab w:val="left" w:pos="1701" w:leader="none"/>
        <w:tab w:val="left" w:pos="2268" w:leader="none"/>
        <w:tab w:val="left" w:pos="2835" w:leader="none"/>
      </w:tabs>
    </w:pPr>
  </w:style>
  <w:style w:type="paragraph" w:styleId="Email" w:customStyle="1">
    <w:name w:val="Email"/>
    <w:qFormat/>
    <w:basedOn w:val="Text"/>
    <w:pPr>
      <w:spacing w:after="0"/>
    </w:pPr>
    <w:rPr>
      <w:color w:val="00007f"/>
      <w:sz w:val="24"/>
    </w:rPr>
  </w:style>
  <w:style w:type="paragraph" w:styleId="Einrck" w:customStyle="1">
    <w:name w:val="Einrück"/>
    <w:qFormat/>
    <w:basedOn w:val="Text"/>
    <w:pPr>
      <w:ind w:hanging="566"/>
    </w:pPr>
  </w:style>
  <w:style w:type="paragraph" w:styleId="Kopf-undFuzeile" w:customStyle="1">
    <w:name w:val="Kopf- und Fußzeile"/>
    <w:qFormat/>
    <w:basedOn w:val="Normal"/>
  </w:style>
  <w:style w:type="paragraph" w:styleId="Fuzeile">
    <w:name w:val="Footer"/>
    <w:qFormat/>
    <w:basedOn w:val="Normal"/>
    <w:pPr>
      <w:tabs>
        <w:tab w:val="center" w:pos="4818" w:leader="none"/>
        <w:tab w:val="right" w:pos="9637" w:leader="none"/>
      </w:tabs>
    </w:pPr>
  </w:style>
  <w:style w:type="paragraph" w:styleId="Funotentext">
    <w:name w:val="Footnote Text"/>
    <w:qFormat/>
    <w:basedOn w:val="Normal"/>
    <w:pPr>
      <w:ind w:left="567" w:hanging="567"/>
      <w:spacing w:line="240" w:lineRule="auto"/>
    </w:pPr>
    <w:rPr>
      <w:sz w:val="18"/>
      <w:szCs w:val="18"/>
    </w:rPr>
  </w:style>
  <w:style w:type="paragraph" w:styleId="Kommentartext">
    <w:name w:val="Comment Text"/>
    <w:qFormat/>
    <w:basedOn w:val="Normal"/>
    <w:pPr>
      <w:spacing w:line="240" w:lineRule="auto"/>
    </w:pPr>
    <w:rPr>
      <w:sz w:val="20"/>
      <w:szCs w:val="20"/>
    </w:rPr>
  </w:style>
  <w:style w:type="paragraph" w:styleId="Kommentarthema">
    <w:name w:val="Comment Subject"/>
    <w:qFormat/>
    <w:basedOn w:val="Kommentartext"/>
    <w:next w:val="Kommentartext"/>
    <w:rPr>
      <w:b/>
      <w:bCs/>
    </w:rPr>
  </w:style>
  <w:style w:type="character" w:styleId="Absatz-Standardschriftart" w:default="1">
    <w:name w:val="Default Paragraph Font"/>
    <w:rPr>
      <w:rFonts w:ascii="Times New Roman" w:hAnsi="Times New Roman" w:eastAsia="Times New Roman" w:cs="Times New Roman"/>
      <w:kern w:val="0"/>
      <w:sz w:val="24"/>
      <w:szCs w:val="24"/>
    </w:rPr>
  </w:style>
  <w:style w:type="character" w:styleId="Arial11pt" w:customStyle="1">
    <w:name w:val="Arial 11pt"/>
    <w:basedOn w:val="Absatz-Standardschriftart"/>
    <w:rPr>
      <w:rFonts w:ascii="Arial" w:hAnsi="Arial"/>
      <w:sz w:val="22"/>
    </w:rPr>
  </w:style>
  <w:style w:type="character" w:styleId="Funotenanker" w:customStyle="1">
    <w:name w:val="Fußnotenanker"/>
    <w:basedOn w:val="Absatz-Standardschriftart"/>
    <w:rPr>
      <w:vertAlign w:val="superscript"/>
    </w:rPr>
  </w:style>
  <w:style w:type="character" w:styleId="FootnoteCharacters" w:customStyle="1">
    <w:name w:val="Footnote Characters"/>
    <w:basedOn w:val="Absatz-Standardschriftart"/>
    <w:rPr>
      <w:vertAlign w:val="superscript"/>
    </w:rPr>
  </w:style>
  <w:style w:type="character" w:styleId="Internetverknpfung" w:customStyle="1">
    <w:name w:val="Internetverknüpfung"/>
    <w:basedOn w:val="Absatz-Standardschriftart"/>
    <w:rPr>
      <w:color w:val="0000ff"/>
      <w:u w:color="auto" w:val="single"/>
    </w:rPr>
  </w:style>
  <w:style w:type="character" w:styleId="Endnotenzeichen">
    <w:name w:val="Endnote Reference"/>
    <w:basedOn w:val="Absatz-Standardschriftart"/>
  </w:style>
  <w:style w:type="character" w:styleId="Hyperlink">
    <w:name w:val="Hyperlink"/>
    <w:basedOn w:val="Absatz-Standardschriftart"/>
    <w:rPr>
      <w:color w:val="0000ff"/>
      <w:u w:color="auto"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hAnsi="Calibri" w:eastAsia="Calibri" w:cs="Calibri"/>
        <w:color w:val="000000"/>
        <w:kern w:val="1"/>
        <w:sz w:val="22"/>
        <w:szCs w:val="22"/>
        <w:lang w:val="de-de" w:eastAsia="zh-cn" w:bidi="ar-sa"/>
      </w:rPr>
    </w:rPrDefault>
    <w:pPrDefault>
      <w:pPr>
        <w:spacing w:line="264" w:lineRule="auto"/>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atentStyles>
  <w:style w:type="paragraph" w:styleId="Normal" w:default="1">
    <w:name w:val="Normal"/>
    <w:qFormat/>
  </w:style>
  <w:style w:type="paragraph" w:styleId="berschrift" w:customStyle="1">
    <w:name w:val="Überschrift"/>
    <w:qFormat/>
    <w:basedOn w:val="Normal"/>
    <w:next w:val="Textkrper"/>
    <w:pPr>
      <w:spacing w:before="240" w:after="120"/>
      <w:keepNext/>
    </w:pPr>
    <w:rPr>
      <w:rFonts w:ascii="Liberation Sans" w:hAnsi="Liberation Sans" w:eastAsia="Microsoft YaHei" w:cs="Mangal"/>
      <w:sz w:val="28"/>
      <w:szCs w:val="28"/>
    </w:rPr>
  </w:style>
  <w:style w:type="paragraph" w:styleId="Textkrper">
    <w:name w:val="Body Text"/>
    <w:qFormat/>
    <w:basedOn w:val="Normal"/>
    <w:pPr>
      <w:spacing w:after="140" w:line="276" w:lineRule="auto"/>
    </w:pPr>
  </w:style>
  <w:style w:type="paragraph" w:styleId="Liste">
    <w:name w:val="List"/>
    <w:qFormat/>
    <w:basedOn w:val="Textkrper"/>
    <w:rPr>
      <w:rFonts w:cs="Mangal"/>
    </w:rPr>
  </w:style>
  <w:style w:type="paragraph" w:styleId="Beschriftung">
    <w:name w:val="caption"/>
    <w:qFormat/>
    <w:basedOn w:val="Normal"/>
    <w:pPr>
      <w:spacing w:before="120" w:after="120"/>
      <w:suppressLineNumbers/>
    </w:pPr>
    <w:rPr>
      <w:rFonts w:cs="Mangal"/>
      <w:i/>
      <w:iCs/>
      <w:sz w:val="24"/>
      <w:szCs w:val="24"/>
    </w:rPr>
  </w:style>
  <w:style w:type="paragraph" w:styleId="Verzeichnis" w:customStyle="1">
    <w:name w:val="Verzeichnis"/>
    <w:qFormat/>
    <w:basedOn w:val="Normal"/>
    <w:pPr>
      <w:suppressLineNumbers/>
    </w:pPr>
    <w:rPr>
      <w:rFonts w:cs="Mangal"/>
    </w:rPr>
  </w:style>
  <w:style w:type="paragraph" w:styleId="Text" w:customStyle="1">
    <w:name w:val="Text"/>
    <w:qFormat/>
    <w:basedOn w:val="Normal"/>
    <w:pPr>
      <w:spacing w:after="160"/>
      <w:suppressAutoHyphens/>
      <w:hyphenationLines w:val="0"/>
      <w:tabs>
        <w:tab w:val="left" w:pos="567" w:leader="none"/>
        <w:tab w:val="left" w:pos="1134" w:leader="none"/>
        <w:tab w:val="left" w:pos="1701" w:leader="none"/>
        <w:tab w:val="left" w:pos="2268" w:leader="none"/>
        <w:tab w:val="left" w:pos="2835" w:leader="none"/>
      </w:tabs>
    </w:pPr>
  </w:style>
  <w:style w:type="paragraph" w:styleId="Email" w:customStyle="1">
    <w:name w:val="Email"/>
    <w:qFormat/>
    <w:basedOn w:val="Text"/>
    <w:pPr>
      <w:spacing w:after="0"/>
    </w:pPr>
    <w:rPr>
      <w:color w:val="00007f"/>
      <w:sz w:val="24"/>
    </w:rPr>
  </w:style>
  <w:style w:type="paragraph" w:styleId="Einrck" w:customStyle="1">
    <w:name w:val="Einrück"/>
    <w:qFormat/>
    <w:basedOn w:val="Text"/>
    <w:pPr>
      <w:ind w:hanging="566"/>
    </w:pPr>
  </w:style>
  <w:style w:type="paragraph" w:styleId="Kopf-undFuzeile" w:customStyle="1">
    <w:name w:val="Kopf- und Fußzeile"/>
    <w:qFormat/>
    <w:basedOn w:val="Normal"/>
  </w:style>
  <w:style w:type="paragraph" w:styleId="Fuzeile">
    <w:name w:val="Footer"/>
    <w:qFormat/>
    <w:basedOn w:val="Normal"/>
    <w:pPr>
      <w:tabs>
        <w:tab w:val="center" w:pos="4818" w:leader="none"/>
        <w:tab w:val="right" w:pos="9637" w:leader="none"/>
      </w:tabs>
    </w:pPr>
  </w:style>
  <w:style w:type="paragraph" w:styleId="Funotentext">
    <w:name w:val="Footnote Text"/>
    <w:qFormat/>
    <w:basedOn w:val="Normal"/>
    <w:pPr>
      <w:ind w:left="567" w:hanging="567"/>
      <w:spacing w:line="240" w:lineRule="auto"/>
    </w:pPr>
    <w:rPr>
      <w:sz w:val="18"/>
      <w:szCs w:val="18"/>
    </w:rPr>
  </w:style>
  <w:style w:type="paragraph" w:styleId="Kommentartext">
    <w:name w:val="Comment Text"/>
    <w:qFormat/>
    <w:basedOn w:val="Normal"/>
    <w:pPr>
      <w:spacing w:line="240" w:lineRule="auto"/>
    </w:pPr>
    <w:rPr>
      <w:sz w:val="20"/>
      <w:szCs w:val="20"/>
    </w:rPr>
  </w:style>
  <w:style w:type="paragraph" w:styleId="Kommentarthema">
    <w:name w:val="Comment Subject"/>
    <w:qFormat/>
    <w:basedOn w:val="Kommentartext"/>
    <w:next w:val="Kommentartext"/>
    <w:rPr>
      <w:b/>
      <w:bCs/>
    </w:rPr>
  </w:style>
  <w:style w:type="character" w:styleId="Absatz-Standardschriftart" w:default="1">
    <w:name w:val="Default Paragraph Font"/>
    <w:rPr>
      <w:rFonts w:ascii="Times New Roman" w:hAnsi="Times New Roman" w:eastAsia="Times New Roman" w:cs="Times New Roman"/>
      <w:kern w:val="0"/>
      <w:sz w:val="24"/>
      <w:szCs w:val="24"/>
    </w:rPr>
  </w:style>
  <w:style w:type="character" w:styleId="Arial11pt" w:customStyle="1">
    <w:name w:val="Arial 11pt"/>
    <w:basedOn w:val="Absatz-Standardschriftart"/>
    <w:rPr>
      <w:rFonts w:ascii="Arial" w:hAnsi="Arial"/>
      <w:sz w:val="22"/>
    </w:rPr>
  </w:style>
  <w:style w:type="character" w:styleId="Funotenanker" w:customStyle="1">
    <w:name w:val="Fußnotenanker"/>
    <w:basedOn w:val="Absatz-Standardschriftart"/>
    <w:rPr>
      <w:vertAlign w:val="superscript"/>
    </w:rPr>
  </w:style>
  <w:style w:type="character" w:styleId="FootnoteCharacters" w:customStyle="1">
    <w:name w:val="Footnote Characters"/>
    <w:basedOn w:val="Absatz-Standardschriftart"/>
    <w:rPr>
      <w:vertAlign w:val="superscript"/>
    </w:rPr>
  </w:style>
  <w:style w:type="character" w:styleId="Internetverknpfung" w:customStyle="1">
    <w:name w:val="Internetverknüpfung"/>
    <w:basedOn w:val="Absatz-Standardschriftart"/>
    <w:rPr>
      <w:color w:val="0000ff"/>
      <w:u w:color="auto" w:val="single"/>
    </w:rPr>
  </w:style>
  <w:style w:type="character" w:styleId="Endnotenzeichen">
    <w:name w:val="Endnote Reference"/>
    <w:basedOn w:val="Absatz-Standardschriftart"/>
  </w:style>
  <w:style w:type="character" w:styleId="Hyperlink">
    <w:name w:val="Hyperlink"/>
    <w:basedOn w:val="Absatz-Standardschriftart"/>
    <w:rPr>
      <w:color w:val="0000ff"/>
      <w:u w:color="auto"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
<Relationships xmlns="http://schemas.openxmlformats.org/package/2006/relationships"><Relationship Id="rId1" Type="http://schemas.openxmlformats.org/officeDocument/2006/relationships/webSettings" Target="webSettings.xml"/><Relationship Id="rId2" Type="http://schemas.openxmlformats.org/officeDocument/2006/relationships/settings" Target="settings.xml"/><Relationship Id="rId3" Type="http://schemas.openxmlformats.org/officeDocument/2006/relationships/theme" Target="theme/theme1.xml"/><Relationship Id="rId4" Type="http://schemas.openxmlformats.org/officeDocument/2006/relationships/fontTable" Target="fontTable.xml"/><Relationship Id="rId5" Type="http://schemas.openxmlformats.org/officeDocument/2006/relationships/styles" Target="styles.xml"/><Relationship Id="rId6" Type="http://schemas.microsoft.com/office/2007/relationships/stylesWithEffects" Target="stylesWithEffects.xml"/><Relationship Id="rId7" Type="http://schemas.openxmlformats.org/officeDocument/2006/relationships/hyperlink" Target="https://antraege.gruene.de/44bdk/Echter_Patientinnenschutz_Bevorteilung_der_Homoeopathie_beenden-10922" TargetMode="External"/><Relationship Id="rId8" Type="http://schemas.openxmlformats.org/officeDocument/2006/relationships/hyperlink" Target="https://www.gruene.de/gruene-vor-ort" TargetMode="External"/><Relationship Id="rId9" Type="http://schemas.openxmlformats.org/officeDocument/2006/relationships/hyperlink" Target="https://antraege.gruene.de/44bdk" TargetMode="External"/><Relationship Id="rId10" Type="http://schemas.openxmlformats.org/officeDocument/2006/relationships/hyperlink" Target="https://www.vkhd.de/news-arten-mobil/news-archiv/news-2017/item/320-homoeopathie-hilft-einsatz-von-antibiotika-in-der-milchviehhaltung-zu-reduzieren" TargetMode="External"/><Relationship Id="rId11" Type="http://schemas.openxmlformats.org/officeDocument/2006/relationships/hyperlink" Target="https://www.arscurandi.de/offener-brief-an-buendnis-90-die-gruenen/" TargetMode="External"/><Relationship Id="rId12" Type="http://schemas.openxmlformats.org/officeDocument/2006/relationships/hyperlink" Target="https://www.bph-online.de/australien-studie-spricht-von-belegen-fuer-homoeopathie/" TargetMode="External"/><Relationship Id="rId13" Type="http://schemas.openxmlformats.org/officeDocument/2006/relationships/hyperlink" Target="https://www.naturundmedizin.de/homoeopathie-und-die-gesetzliche-krankenversicherung.html" TargetMode="External"/><Relationship Id="rId14" Type="http://schemas.openxmlformats.org/officeDocument/2006/relationships/hyperlink" Target="https://www.deutsche-apotheker-zeitung.de/news/artikel/2017/09/25/rki-praesident-spricht-sich-gegen-impfpflicht-aus" TargetMode="External"/><Relationship Id="rId15" Type="http://schemas.openxmlformats.org/officeDocument/2006/relationships/hyperlink" Target="http://www.provings.info/blog1?post_id=55&amp;title=leserbrief-zum-artikel-&#8222;glaubenskrieg-um-globuli&#8220;-aus-der-taz-vom-141019" TargetMode="External"/><Relationship Id="rId16"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Calibri"/>
        <a:cs typeface="Calibr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TextMaker 2016 rev.768</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C C</cp:lastModifiedBy>
  <cp:revision>12</cp:revision>
  <dcterms:created xsi:type="dcterms:W3CDTF">2019-09-23T23:08:23Z</dcterms:created>
  <dcterms:modified xsi:type="dcterms:W3CDTF">2019-10-23T23:41:49Z</dcterms:modified>
</cp:coreProperties>
</file>